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E47DB2" w14:textId="77777777" w:rsidR="000F25DF" w:rsidRDefault="000F25DF" w:rsidP="000F25DF">
      <w:pPr>
        <w:jc w:val="both"/>
      </w:pPr>
      <w:bookmarkStart w:id="0" w:name="_GoBack"/>
      <w:bookmarkEnd w:id="0"/>
    </w:p>
    <w:p w14:paraId="7BB719D6" w14:textId="77777777" w:rsidR="00CD6E8D" w:rsidRPr="00D103C5" w:rsidRDefault="00CD6E8D" w:rsidP="000F25DF">
      <w:pPr>
        <w:jc w:val="both"/>
      </w:pPr>
      <w:r w:rsidRPr="00D103C5">
        <w:t xml:space="preserve">O </w:t>
      </w:r>
      <w:r w:rsidR="003F1CD6" w:rsidRPr="00D103C5">
        <w:t>anexo</w:t>
      </w:r>
      <w:r w:rsidRPr="00D103C5">
        <w:t xml:space="preserve">, visa </w:t>
      </w:r>
      <w:r w:rsidR="00532219" w:rsidRPr="00D103C5">
        <w:t xml:space="preserve">complementar a informação financeira apresentada noutras demonstrações financeiras, divulgando as bases de preparação </w:t>
      </w:r>
      <w:r w:rsidR="001226D4">
        <w:t>e politicas contabilísticas ado</w:t>
      </w:r>
      <w:r w:rsidR="00532219" w:rsidRPr="00D103C5">
        <w:t>tadas e outras divulgações exigidas pelas Normas de co</w:t>
      </w:r>
      <w:r w:rsidR="00670508">
        <w:t>ntabilidade e relato financeiro para Entidades sem Fins Lucrativos.</w:t>
      </w:r>
      <w:r w:rsidR="001226D4">
        <w:t xml:space="preserve"> </w:t>
      </w:r>
      <w:r w:rsidR="00744CCE">
        <w:t>(ESNL)</w:t>
      </w:r>
    </w:p>
    <w:p w14:paraId="3A671077" w14:textId="77777777" w:rsidR="00532219" w:rsidRDefault="00532219" w:rsidP="005A1BBF">
      <w:pPr>
        <w:jc w:val="both"/>
        <w:rPr>
          <w:b/>
        </w:rPr>
      </w:pPr>
    </w:p>
    <w:p w14:paraId="1EEF8A76" w14:textId="65B89AA7" w:rsidR="00FA07EA" w:rsidRPr="00277830" w:rsidRDefault="00216198" w:rsidP="005A1BBF">
      <w:pPr>
        <w:jc w:val="both"/>
        <w:rPr>
          <w:rFonts w:eastAsia="Arial" w:cs="Times New Roman"/>
          <w:b/>
          <w:bCs/>
          <w:sz w:val="28"/>
          <w:szCs w:val="28"/>
        </w:rPr>
      </w:pPr>
      <w:r w:rsidRPr="00277830">
        <w:rPr>
          <w:rFonts w:eastAsia="Arial" w:cs="Times New Roman"/>
          <w:b/>
          <w:bCs/>
          <w:sz w:val="28"/>
          <w:szCs w:val="28"/>
        </w:rPr>
        <w:fldChar w:fldCharType="begin"/>
      </w:r>
      <w:r w:rsidR="00FA07EA" w:rsidRPr="00277830">
        <w:rPr>
          <w:rFonts w:eastAsia="Arial" w:cs="Times New Roman"/>
          <w:b/>
          <w:bCs/>
          <w:sz w:val="28"/>
          <w:szCs w:val="28"/>
        </w:rPr>
        <w:instrText xml:space="preserve"> SEQ "Nota" \*Arabic </w:instrText>
      </w:r>
      <w:r w:rsidRPr="00277830">
        <w:rPr>
          <w:rFonts w:eastAsia="Arial" w:cs="Times New Roman"/>
          <w:b/>
          <w:bCs/>
          <w:sz w:val="28"/>
          <w:szCs w:val="28"/>
        </w:rPr>
        <w:fldChar w:fldCharType="separate"/>
      </w:r>
      <w:r w:rsidR="001B486E">
        <w:rPr>
          <w:rFonts w:eastAsia="Arial" w:cs="Times New Roman"/>
          <w:b/>
          <w:bCs/>
          <w:noProof/>
          <w:sz w:val="28"/>
          <w:szCs w:val="28"/>
        </w:rPr>
        <w:t>1</w:t>
      </w:r>
      <w:r w:rsidRPr="00277830">
        <w:rPr>
          <w:rFonts w:eastAsia="Arial" w:cs="Times New Roman"/>
          <w:b/>
          <w:bCs/>
          <w:sz w:val="28"/>
          <w:szCs w:val="28"/>
        </w:rPr>
        <w:fldChar w:fldCharType="end"/>
      </w:r>
      <w:r w:rsidR="00FA07EA" w:rsidRPr="00277830">
        <w:rPr>
          <w:rFonts w:eastAsia="Arial" w:cs="Times New Roman"/>
          <w:b/>
          <w:bCs/>
          <w:sz w:val="28"/>
          <w:szCs w:val="28"/>
        </w:rPr>
        <w:t xml:space="preserve"> – Identificação da entidade.</w:t>
      </w:r>
    </w:p>
    <w:p w14:paraId="669F938D" w14:textId="77777777" w:rsidR="00FA07EA" w:rsidRDefault="00FA07EA" w:rsidP="005A1BBF">
      <w:pPr>
        <w:jc w:val="both"/>
      </w:pPr>
    </w:p>
    <w:bookmarkStart w:id="1" w:name="_MON_1363638280"/>
    <w:bookmarkStart w:id="2" w:name="_MON_1363638433"/>
    <w:bookmarkStart w:id="3" w:name="_MON_1363638445"/>
    <w:bookmarkStart w:id="4" w:name="_MON_1363696962"/>
    <w:bookmarkEnd w:id="1"/>
    <w:bookmarkEnd w:id="2"/>
    <w:bookmarkEnd w:id="3"/>
    <w:bookmarkEnd w:id="4"/>
    <w:bookmarkStart w:id="5" w:name="_MON_1363638137"/>
    <w:bookmarkEnd w:id="5"/>
    <w:p w14:paraId="12EC7B64" w14:textId="77777777" w:rsidR="00FA07EA" w:rsidRDefault="0046279D" w:rsidP="005A1BBF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object w:dxaOrig="7983" w:dyaOrig="761" w14:anchorId="22BA4F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41.25pt" o:ole="" filled="t">
            <v:fill color2="black"/>
            <v:imagedata r:id="rId8" o:title=""/>
          </v:shape>
          <o:OLEObject Type="Embed" ProgID="Excel.Sheet.8" ShapeID="_x0000_i1025" DrawAspect="Content" ObjectID="_1771668120" r:id="rId9"/>
        </w:object>
      </w:r>
    </w:p>
    <w:p w14:paraId="154665C6" w14:textId="77777777" w:rsidR="00532219" w:rsidRDefault="00532219" w:rsidP="005A1BBF">
      <w:pPr>
        <w:jc w:val="both"/>
        <w:rPr>
          <w:rFonts w:eastAsia="Arial" w:cs="Arial"/>
          <w:b/>
          <w:bCs/>
          <w:sz w:val="28"/>
          <w:szCs w:val="28"/>
        </w:rPr>
      </w:pPr>
    </w:p>
    <w:p w14:paraId="48BB2A7B" w14:textId="52D0A177" w:rsidR="00FA07EA" w:rsidRPr="00277830" w:rsidRDefault="00216198" w:rsidP="005A1BBF">
      <w:pPr>
        <w:jc w:val="both"/>
        <w:rPr>
          <w:rFonts w:eastAsia="Arial" w:cs="Times New Roman"/>
          <w:b/>
          <w:bCs/>
          <w:sz w:val="28"/>
          <w:szCs w:val="28"/>
        </w:rPr>
      </w:pPr>
      <w:r w:rsidRPr="00277830">
        <w:rPr>
          <w:rFonts w:eastAsia="Arial" w:cs="Times New Roman"/>
          <w:b/>
          <w:bCs/>
          <w:sz w:val="28"/>
          <w:szCs w:val="28"/>
        </w:rPr>
        <w:fldChar w:fldCharType="begin"/>
      </w:r>
      <w:r w:rsidR="00FA07EA" w:rsidRPr="00277830">
        <w:rPr>
          <w:rFonts w:eastAsia="Arial" w:cs="Times New Roman"/>
          <w:b/>
          <w:bCs/>
          <w:sz w:val="28"/>
          <w:szCs w:val="28"/>
        </w:rPr>
        <w:instrText xml:space="preserve"> SEQ "Nota" \*Arabic </w:instrText>
      </w:r>
      <w:r w:rsidRPr="00277830">
        <w:rPr>
          <w:rFonts w:eastAsia="Arial" w:cs="Times New Roman"/>
          <w:b/>
          <w:bCs/>
          <w:sz w:val="28"/>
          <w:szCs w:val="28"/>
        </w:rPr>
        <w:fldChar w:fldCharType="separate"/>
      </w:r>
      <w:r w:rsidR="001B486E">
        <w:rPr>
          <w:rFonts w:eastAsia="Arial" w:cs="Times New Roman"/>
          <w:b/>
          <w:bCs/>
          <w:noProof/>
          <w:sz w:val="28"/>
          <w:szCs w:val="28"/>
        </w:rPr>
        <w:t>2</w:t>
      </w:r>
      <w:r w:rsidRPr="00277830">
        <w:rPr>
          <w:rFonts w:eastAsia="Arial" w:cs="Times New Roman"/>
          <w:b/>
          <w:bCs/>
          <w:sz w:val="28"/>
          <w:szCs w:val="28"/>
        </w:rPr>
        <w:fldChar w:fldCharType="end"/>
      </w:r>
      <w:r w:rsidR="00FA07EA" w:rsidRPr="00277830">
        <w:rPr>
          <w:rFonts w:eastAsia="Arial" w:cs="Times New Roman"/>
          <w:b/>
          <w:bCs/>
          <w:sz w:val="28"/>
          <w:szCs w:val="28"/>
        </w:rPr>
        <w:t xml:space="preserve"> – Referencial contabilístico de preparação das demonstrações financeiras.</w:t>
      </w:r>
    </w:p>
    <w:p w14:paraId="4F598A72" w14:textId="77777777" w:rsidR="00FA07EA" w:rsidRDefault="00FA07EA" w:rsidP="005A1BBF">
      <w:pPr>
        <w:jc w:val="both"/>
        <w:rPr>
          <w:rFonts w:ascii="Arial" w:eastAsia="Arial" w:hAnsi="Arial" w:cs="Arial"/>
        </w:rPr>
      </w:pPr>
    </w:p>
    <w:p w14:paraId="3921287B" w14:textId="77777777" w:rsidR="00FA07EA" w:rsidRDefault="00DD3B3A" w:rsidP="00DD3B3A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ab/>
      </w:r>
      <w:r w:rsidR="00FA07EA">
        <w:rPr>
          <w:rFonts w:eastAsia="Arial" w:cs="Arial"/>
          <w:color w:val="000000"/>
        </w:rPr>
        <w:t>As demonstrações financeiras anexas foram preparadas no quadro das disposições em vigor em Portugal, em conformidade com o Decreto-Lei n° 158/2009, de 13 de Julho, e de acordo com a Estrutura Conceptual (EC), Normas Contabilísticas e de Relato Financeiro (NCRF) e Normas Interpretativas (NI) constantes do Sistema de No</w:t>
      </w:r>
      <w:r>
        <w:rPr>
          <w:rFonts w:eastAsia="Arial" w:cs="Arial"/>
          <w:color w:val="000000"/>
        </w:rPr>
        <w:t>rmalização Contabilística (SNC).</w:t>
      </w:r>
      <w:r w:rsidR="00FA07EA">
        <w:rPr>
          <w:rFonts w:eastAsia="Arial" w:cs="Arial"/>
          <w:color w:val="000000"/>
        </w:rPr>
        <w:t xml:space="preserve"> </w:t>
      </w:r>
    </w:p>
    <w:p w14:paraId="481AD432" w14:textId="77777777" w:rsidR="00FA07EA" w:rsidRDefault="00FA07EA" w:rsidP="005A1BBF">
      <w:pPr>
        <w:shd w:val="clear" w:color="auto" w:fill="FFFFFF"/>
        <w:autoSpaceDE w:val="0"/>
        <w:rPr>
          <w:rFonts w:eastAsia="Arial" w:cs="Arial"/>
          <w:color w:val="000000"/>
        </w:rPr>
      </w:pPr>
    </w:p>
    <w:p w14:paraId="484B5004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>2.</w:t>
      </w:r>
      <w:r w:rsidR="003E62D7">
        <w:rPr>
          <w:rFonts w:eastAsia="Arial" w:cs="Arial"/>
          <w:b/>
          <w:bCs/>
          <w:i/>
          <w:iCs/>
          <w:color w:val="000000"/>
        </w:rPr>
        <w:t>1</w:t>
      </w:r>
      <w:r>
        <w:rPr>
          <w:rFonts w:eastAsia="Arial" w:cs="Arial"/>
          <w:b/>
          <w:bCs/>
          <w:i/>
          <w:iCs/>
          <w:color w:val="000000"/>
        </w:rPr>
        <w:t xml:space="preserve"> - Indicação e comentário das contas do Balanço e da demonstração dos resultados cujos conteúdos não sejam comparáveis com os do exercício anterior.</w:t>
      </w:r>
    </w:p>
    <w:p w14:paraId="0C4978BB" w14:textId="77777777" w:rsidR="00676D47" w:rsidRDefault="00676D47" w:rsidP="00676D47">
      <w:pPr>
        <w:shd w:val="clear" w:color="auto" w:fill="FFFFFF"/>
        <w:autoSpaceDE w:val="0"/>
        <w:ind w:firstLine="709"/>
        <w:jc w:val="both"/>
        <w:rPr>
          <w:rFonts w:eastAsia="Times New Roman" w:cs="Times New Roman"/>
          <w:color w:val="000000"/>
        </w:rPr>
      </w:pPr>
    </w:p>
    <w:p w14:paraId="79A95826" w14:textId="77777777" w:rsidR="00FA07EA" w:rsidRDefault="00744CCE" w:rsidP="00676D47">
      <w:pPr>
        <w:shd w:val="clear" w:color="auto" w:fill="FFFFFF"/>
        <w:autoSpaceDE w:val="0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Não aplicável.</w:t>
      </w:r>
    </w:p>
    <w:p w14:paraId="70A7AF2D" w14:textId="77777777" w:rsidR="00670508" w:rsidRDefault="00670508" w:rsidP="003E62D7">
      <w:pPr>
        <w:shd w:val="clear" w:color="auto" w:fill="FFFFFF"/>
        <w:autoSpaceDE w:val="0"/>
        <w:ind w:firstLine="709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BF83779" w14:textId="728CEC0B" w:rsidR="00FA07EA" w:rsidRDefault="00216198" w:rsidP="005A1BBF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fldChar w:fldCharType="begin"/>
      </w:r>
      <w:r w:rsidR="00FA07EA">
        <w:rPr>
          <w:rFonts w:eastAsia="Arial" w:cs="Arial"/>
          <w:b/>
          <w:bCs/>
          <w:sz w:val="28"/>
          <w:szCs w:val="28"/>
        </w:rPr>
        <w:instrText xml:space="preserve"> SEQ "Nota" \*Arabic </w:instrText>
      </w:r>
      <w:r>
        <w:rPr>
          <w:rFonts w:eastAsia="Arial" w:cs="Arial"/>
          <w:b/>
          <w:bCs/>
          <w:sz w:val="28"/>
          <w:szCs w:val="28"/>
        </w:rPr>
        <w:fldChar w:fldCharType="separate"/>
      </w:r>
      <w:r w:rsidR="001B486E">
        <w:rPr>
          <w:rFonts w:eastAsia="Arial" w:cs="Arial"/>
          <w:b/>
          <w:bCs/>
          <w:noProof/>
          <w:sz w:val="28"/>
          <w:szCs w:val="28"/>
        </w:rPr>
        <w:t>3</w:t>
      </w:r>
      <w:r>
        <w:rPr>
          <w:rFonts w:eastAsia="Arial" w:cs="Arial"/>
          <w:b/>
          <w:bCs/>
          <w:sz w:val="28"/>
          <w:szCs w:val="28"/>
        </w:rPr>
        <w:fldChar w:fldCharType="end"/>
      </w:r>
      <w:r w:rsidR="00FA07EA">
        <w:rPr>
          <w:rFonts w:ascii="Arial" w:eastAsia="Arial" w:hAnsi="Arial" w:cs="Arial"/>
          <w:b/>
          <w:bCs/>
          <w:sz w:val="28"/>
          <w:szCs w:val="28"/>
        </w:rPr>
        <w:t xml:space="preserve"> – Principais pol</w:t>
      </w:r>
      <w:r w:rsidR="008D5A00">
        <w:rPr>
          <w:rFonts w:ascii="Arial" w:eastAsia="Arial" w:hAnsi="Arial" w:cs="Arial"/>
          <w:b/>
          <w:bCs/>
          <w:sz w:val="28"/>
          <w:szCs w:val="28"/>
        </w:rPr>
        <w:t>í</w:t>
      </w:r>
      <w:r w:rsidR="00FA07EA">
        <w:rPr>
          <w:rFonts w:ascii="Arial" w:eastAsia="Arial" w:hAnsi="Arial" w:cs="Arial"/>
          <w:b/>
          <w:bCs/>
          <w:sz w:val="28"/>
          <w:szCs w:val="28"/>
        </w:rPr>
        <w:t>ticas contabilísticas</w:t>
      </w:r>
    </w:p>
    <w:p w14:paraId="2C750CFA" w14:textId="77777777" w:rsidR="00FA07EA" w:rsidRDefault="00FA07EA" w:rsidP="005A1BBF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17F9B94" w14:textId="77777777" w:rsidR="00FA07EA" w:rsidRDefault="00FA07EA" w:rsidP="005A1BBF">
      <w:pPr>
        <w:shd w:val="clear" w:color="auto" w:fill="FFFFFF"/>
        <w:autoSpaceDE w:val="0"/>
        <w:ind w:firstLine="14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>3.1 - Bases de mensuração usadas na preparação das demonstrações financeiras:</w:t>
      </w:r>
    </w:p>
    <w:p w14:paraId="37803E8E" w14:textId="77777777" w:rsidR="00744CCE" w:rsidRDefault="00744CCE" w:rsidP="005A1BBF">
      <w:pPr>
        <w:shd w:val="clear" w:color="auto" w:fill="FFFFFF"/>
        <w:autoSpaceDE w:val="0"/>
        <w:rPr>
          <w:rFonts w:eastAsia="Arial" w:cs="Arial"/>
          <w:b/>
          <w:bCs/>
          <w:i/>
          <w:iCs/>
          <w:color w:val="000000"/>
        </w:rPr>
      </w:pPr>
    </w:p>
    <w:p w14:paraId="4DEC937E" w14:textId="77777777" w:rsidR="00744CCE" w:rsidRDefault="00744CCE" w:rsidP="005A1BBF">
      <w:pPr>
        <w:shd w:val="clear" w:color="auto" w:fill="FFFFFF"/>
        <w:autoSpaceDE w:val="0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 xml:space="preserve">PROPRIEDADES MDE INVESTIMENTO </w:t>
      </w:r>
    </w:p>
    <w:p w14:paraId="07E334AD" w14:textId="77777777" w:rsidR="00744CCE" w:rsidRDefault="00744CCE" w:rsidP="005A1BBF">
      <w:pPr>
        <w:shd w:val="clear" w:color="auto" w:fill="FFFFFF"/>
        <w:autoSpaceDE w:val="0"/>
        <w:rPr>
          <w:rFonts w:eastAsia="Arial" w:cs="Arial"/>
          <w:b/>
          <w:bCs/>
          <w:i/>
          <w:iCs/>
          <w:color w:val="000000"/>
        </w:rPr>
      </w:pPr>
    </w:p>
    <w:p w14:paraId="3268738A" w14:textId="77777777" w:rsidR="00744CCE" w:rsidRPr="00744CCE" w:rsidRDefault="00744CCE" w:rsidP="00744CCE">
      <w:pPr>
        <w:shd w:val="clear" w:color="auto" w:fill="FFFFFF"/>
        <w:autoSpaceDE w:val="0"/>
        <w:jc w:val="both"/>
        <w:rPr>
          <w:rFonts w:eastAsia="Arial" w:cs="Arial"/>
          <w:bCs/>
          <w:iCs/>
          <w:color w:val="000000"/>
        </w:rPr>
      </w:pPr>
      <w:r w:rsidRPr="00744CCE">
        <w:rPr>
          <w:rFonts w:eastAsia="Arial" w:cs="Arial"/>
          <w:bCs/>
          <w:iCs/>
          <w:color w:val="000000"/>
        </w:rPr>
        <w:t>As propriedades de inv</w:t>
      </w:r>
      <w:r>
        <w:rPr>
          <w:rFonts w:eastAsia="Arial" w:cs="Arial"/>
          <w:bCs/>
          <w:iCs/>
          <w:color w:val="000000"/>
        </w:rPr>
        <w:t>estimento encontram-se registada</w:t>
      </w:r>
      <w:r w:rsidRPr="00744CCE">
        <w:rPr>
          <w:rFonts w:eastAsia="Arial" w:cs="Arial"/>
          <w:bCs/>
          <w:iCs/>
          <w:color w:val="000000"/>
        </w:rPr>
        <w:t xml:space="preserve">s pelo custo de aquisição revalorizado de acordo com os princípios orientados do SNC, e referem-se a imóveis que a Instituição </w:t>
      </w:r>
      <w:r w:rsidR="00AA0D61" w:rsidRPr="00744CCE">
        <w:rPr>
          <w:rFonts w:eastAsia="Arial" w:cs="Arial"/>
          <w:bCs/>
          <w:iCs/>
          <w:color w:val="000000"/>
        </w:rPr>
        <w:t>detém</w:t>
      </w:r>
      <w:r w:rsidRPr="00744CCE">
        <w:rPr>
          <w:rFonts w:eastAsia="Arial" w:cs="Arial"/>
          <w:bCs/>
          <w:iCs/>
          <w:color w:val="000000"/>
        </w:rPr>
        <w:t xml:space="preserve"> para arrendamento.</w:t>
      </w:r>
    </w:p>
    <w:p w14:paraId="6C2552CA" w14:textId="77777777" w:rsidR="00744CCE" w:rsidRPr="00744CCE" w:rsidRDefault="00744CCE" w:rsidP="00744CCE">
      <w:pPr>
        <w:shd w:val="clear" w:color="auto" w:fill="FFFFFF"/>
        <w:autoSpaceDE w:val="0"/>
        <w:jc w:val="both"/>
        <w:rPr>
          <w:rFonts w:eastAsia="Arial" w:cs="Arial"/>
          <w:bCs/>
          <w:iCs/>
          <w:color w:val="000000"/>
        </w:rPr>
      </w:pPr>
      <w:r w:rsidRPr="00744CCE">
        <w:rPr>
          <w:rFonts w:eastAsia="Arial" w:cs="Arial"/>
          <w:bCs/>
          <w:iCs/>
          <w:color w:val="000000"/>
        </w:rPr>
        <w:t>Sobre estas propr</w:t>
      </w:r>
      <w:r w:rsidR="004A5FC1">
        <w:rPr>
          <w:rFonts w:eastAsia="Arial" w:cs="Arial"/>
          <w:bCs/>
          <w:iCs/>
          <w:color w:val="000000"/>
        </w:rPr>
        <w:t>iedades de investimento são efe</w:t>
      </w:r>
      <w:r w:rsidRPr="00744CCE">
        <w:rPr>
          <w:rFonts w:eastAsia="Arial" w:cs="Arial"/>
          <w:bCs/>
          <w:iCs/>
          <w:color w:val="000000"/>
        </w:rPr>
        <w:t>tuadas deduções correspondentes ás suas depreciações, calculadas, após a dará em que os bens ficaram disponíveis para sua util</w:t>
      </w:r>
      <w:r w:rsidR="004A5FC1">
        <w:rPr>
          <w:rFonts w:eastAsia="Arial" w:cs="Arial"/>
          <w:bCs/>
          <w:iCs/>
          <w:color w:val="000000"/>
        </w:rPr>
        <w:t>ização, pelo método da linha re</w:t>
      </w:r>
      <w:r w:rsidRPr="00744CCE">
        <w:rPr>
          <w:rFonts w:eastAsia="Arial" w:cs="Arial"/>
          <w:bCs/>
          <w:iCs/>
          <w:color w:val="000000"/>
        </w:rPr>
        <w:t>ta em conformidade com o período de vida útil.</w:t>
      </w:r>
    </w:p>
    <w:p w14:paraId="6EE61188" w14:textId="77777777" w:rsidR="00744CCE" w:rsidRDefault="00744CCE" w:rsidP="005A1BBF">
      <w:pPr>
        <w:shd w:val="clear" w:color="auto" w:fill="FFFFFF"/>
        <w:autoSpaceDE w:val="0"/>
        <w:rPr>
          <w:rFonts w:eastAsia="Arial" w:cs="Arial"/>
          <w:b/>
          <w:bCs/>
          <w:i/>
          <w:iCs/>
          <w:color w:val="000000"/>
        </w:rPr>
      </w:pPr>
    </w:p>
    <w:p w14:paraId="0B3B7BE1" w14:textId="77777777" w:rsidR="00744CCE" w:rsidRDefault="00744CCE" w:rsidP="005A1BBF">
      <w:pPr>
        <w:shd w:val="clear" w:color="auto" w:fill="FFFFFF"/>
        <w:autoSpaceDE w:val="0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>INVESTIMENTOS FINANCEIROS.</w:t>
      </w:r>
    </w:p>
    <w:p w14:paraId="040C28C1" w14:textId="77777777" w:rsidR="00744CCE" w:rsidRDefault="00744CCE" w:rsidP="005A1BBF">
      <w:pPr>
        <w:shd w:val="clear" w:color="auto" w:fill="FFFFFF"/>
        <w:autoSpaceDE w:val="0"/>
        <w:rPr>
          <w:rFonts w:eastAsia="Arial" w:cs="Arial"/>
          <w:b/>
          <w:bCs/>
          <w:i/>
          <w:iCs/>
          <w:color w:val="000000"/>
        </w:rPr>
      </w:pPr>
    </w:p>
    <w:p w14:paraId="61842890" w14:textId="77777777" w:rsidR="00744CCE" w:rsidRPr="00744CCE" w:rsidRDefault="00744CCE" w:rsidP="005A1BBF">
      <w:pPr>
        <w:shd w:val="clear" w:color="auto" w:fill="FFFFFF"/>
        <w:autoSpaceDE w:val="0"/>
        <w:rPr>
          <w:rFonts w:eastAsia="Arial" w:cs="Arial"/>
          <w:bCs/>
          <w:i/>
          <w:iCs/>
          <w:color w:val="000000"/>
        </w:rPr>
      </w:pPr>
      <w:r w:rsidRPr="00744CCE">
        <w:rPr>
          <w:rFonts w:eastAsia="Arial" w:cs="Arial"/>
          <w:bCs/>
          <w:iCs/>
          <w:color w:val="000000"/>
        </w:rPr>
        <w:t>Encontra-se registada uma pequena aplicação na qualidade de associado da Caixa de Crédito Agrícola Mutuo de Silves. Sobre a mesma não é deduzida nenhuma depreciação</w:t>
      </w:r>
      <w:r w:rsidRPr="00744CCE">
        <w:rPr>
          <w:rFonts w:eastAsia="Arial" w:cs="Arial"/>
          <w:bCs/>
          <w:i/>
          <w:iCs/>
          <w:color w:val="000000"/>
        </w:rPr>
        <w:t>.</w:t>
      </w:r>
    </w:p>
    <w:p w14:paraId="2614FBD9" w14:textId="77777777" w:rsidR="00744CCE" w:rsidRDefault="00744CCE" w:rsidP="005A1BBF">
      <w:pPr>
        <w:shd w:val="clear" w:color="auto" w:fill="FFFFFF"/>
        <w:autoSpaceDE w:val="0"/>
        <w:rPr>
          <w:rFonts w:eastAsia="Arial" w:cs="Arial"/>
          <w:b/>
          <w:bCs/>
          <w:i/>
          <w:iCs/>
          <w:color w:val="000000"/>
        </w:rPr>
      </w:pPr>
    </w:p>
    <w:p w14:paraId="0E0E7E04" w14:textId="77777777" w:rsidR="00FA07EA" w:rsidRDefault="00FA07EA" w:rsidP="005A1BBF">
      <w:pPr>
        <w:shd w:val="clear" w:color="auto" w:fill="FFFFFF"/>
        <w:autoSpaceDE w:val="0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>ACTIVOS FIXOS TANGÍVEIS (NCRF 7)</w:t>
      </w:r>
    </w:p>
    <w:p w14:paraId="5D050C2F" w14:textId="77777777" w:rsidR="00FA07EA" w:rsidRDefault="00FA07EA" w:rsidP="005A1BBF">
      <w:pPr>
        <w:shd w:val="clear" w:color="auto" w:fill="FFFFFF"/>
        <w:autoSpaceDE w:val="0"/>
        <w:rPr>
          <w:rFonts w:eastAsia="Arial" w:cs="Arial"/>
          <w:color w:val="000000"/>
        </w:rPr>
      </w:pPr>
    </w:p>
    <w:p w14:paraId="25B151C6" w14:textId="77777777" w:rsidR="00FA07EA" w:rsidRDefault="003E62D7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Os ativos fixos tangíveis de equipamento de transporte </w:t>
      </w:r>
      <w:r w:rsidR="00FA07EA">
        <w:rPr>
          <w:rFonts w:eastAsia="Arial" w:cs="Arial"/>
          <w:color w:val="000000"/>
        </w:rPr>
        <w:t>adquiridos</w:t>
      </w:r>
      <w:r w:rsidR="00277830">
        <w:rPr>
          <w:rFonts w:eastAsia="Arial" w:cs="Arial"/>
          <w:color w:val="000000"/>
        </w:rPr>
        <w:t>,</w:t>
      </w:r>
      <w:r w:rsidR="00FA07EA">
        <w:rPr>
          <w:rFonts w:eastAsia="Arial" w:cs="Arial"/>
          <w:color w:val="000000"/>
        </w:rPr>
        <w:t xml:space="preserve"> encontram-se registados ao seu custo de aquisição ou ao custo de aquisição revalorizado de acordo com os princípios </w:t>
      </w:r>
      <w:r w:rsidR="004A5FC1">
        <w:rPr>
          <w:rFonts w:eastAsia="Arial" w:cs="Arial"/>
          <w:color w:val="000000"/>
        </w:rPr>
        <w:t>c</w:t>
      </w:r>
      <w:r w:rsidR="009E5D66">
        <w:rPr>
          <w:rFonts w:eastAsia="Arial" w:cs="Arial"/>
          <w:color w:val="000000"/>
        </w:rPr>
        <w:t>ontabilísticos</w:t>
      </w:r>
      <w:r w:rsidR="00FA07EA">
        <w:rPr>
          <w:rFonts w:eastAsia="Arial" w:cs="Arial"/>
          <w:color w:val="000000"/>
        </w:rPr>
        <w:t xml:space="preserve"> geralmente aceites em Portugal até àquela data, deduzido das amortizações acumuladas e de perdas por imparidade.</w:t>
      </w:r>
    </w:p>
    <w:p w14:paraId="1E9AE595" w14:textId="77777777" w:rsidR="00FA07EA" w:rsidRDefault="00FA07EA" w:rsidP="005A1BBF">
      <w:pPr>
        <w:shd w:val="clear" w:color="auto" w:fill="FFFFFF"/>
        <w:autoSpaceDE w:val="0"/>
        <w:rPr>
          <w:rFonts w:eastAsia="Arial" w:cs="Arial"/>
          <w:color w:val="000000"/>
        </w:rPr>
      </w:pPr>
    </w:p>
    <w:p w14:paraId="37665800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Os ativos fixos tangíveis adquiridos após aquela data encontram-se registados ao custo de aquisição, deduzido das correspondentes depreciações e das perdas por imparidade acumuladas.</w:t>
      </w:r>
    </w:p>
    <w:p w14:paraId="6C4ACDCA" w14:textId="77777777" w:rsidR="00FA07EA" w:rsidRDefault="00FA07EA" w:rsidP="005A1BBF">
      <w:pPr>
        <w:shd w:val="clear" w:color="auto" w:fill="FFFFFF"/>
        <w:autoSpaceDE w:val="0"/>
        <w:rPr>
          <w:rFonts w:eastAsia="Arial" w:cs="Arial"/>
          <w:color w:val="000000"/>
        </w:rPr>
      </w:pPr>
    </w:p>
    <w:p w14:paraId="0CC5BDC4" w14:textId="77777777" w:rsidR="00FA07EA" w:rsidRDefault="003E62D7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As depreciações foram </w:t>
      </w:r>
      <w:r w:rsidR="00FA07EA">
        <w:rPr>
          <w:rFonts w:eastAsia="Arial" w:cs="Arial"/>
          <w:color w:val="000000"/>
        </w:rPr>
        <w:t>calculadas, após a data em que os bens estejam disponíveis para serem utiliz</w:t>
      </w:r>
      <w:r w:rsidR="004A5FC1">
        <w:rPr>
          <w:rFonts w:eastAsia="Arial" w:cs="Arial"/>
          <w:color w:val="000000"/>
        </w:rPr>
        <w:t>ados, pelo método da linha re</w:t>
      </w:r>
      <w:r w:rsidR="001A3BF5">
        <w:rPr>
          <w:rFonts w:eastAsia="Arial" w:cs="Arial"/>
          <w:color w:val="000000"/>
        </w:rPr>
        <w:t>ta</w:t>
      </w:r>
      <w:r w:rsidR="00FA07EA">
        <w:rPr>
          <w:rFonts w:eastAsia="Arial" w:cs="Arial"/>
          <w:i/>
          <w:iCs/>
          <w:color w:val="000000"/>
        </w:rPr>
        <w:t xml:space="preserve"> </w:t>
      </w:r>
      <w:r w:rsidR="00FA07EA">
        <w:rPr>
          <w:rFonts w:eastAsia="Arial" w:cs="Arial"/>
          <w:color w:val="000000"/>
        </w:rPr>
        <w:t>em conformidade com o período de vida útil estimado para cada grupo de bens.</w:t>
      </w:r>
    </w:p>
    <w:p w14:paraId="190DB397" w14:textId="77777777" w:rsidR="00FA07EA" w:rsidRDefault="00FA07EA" w:rsidP="005A1BBF">
      <w:pPr>
        <w:shd w:val="clear" w:color="auto" w:fill="FFFFFF"/>
        <w:autoSpaceDE w:val="0"/>
        <w:rPr>
          <w:rFonts w:eastAsia="Arial" w:cs="Arial"/>
          <w:color w:val="000000"/>
        </w:rPr>
      </w:pPr>
    </w:p>
    <w:p w14:paraId="3DAF61DA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>INVENTÁRIOS (NCRF 18)</w:t>
      </w:r>
    </w:p>
    <w:p w14:paraId="0C49B24E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024A001B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color w:val="000000"/>
        </w:rPr>
        <w:t>Os inventários enc</w:t>
      </w:r>
      <w:r w:rsidR="001A3BF5">
        <w:rPr>
          <w:rFonts w:eastAsia="Arial" w:cs="Arial"/>
          <w:color w:val="000000"/>
        </w:rPr>
        <w:t xml:space="preserve">ontram-se valorizados ao menor entre o seu custo de aquisição e o seu valor realizável </w:t>
      </w:r>
      <w:r w:rsidR="00277830">
        <w:rPr>
          <w:rFonts w:eastAsia="Arial" w:cs="Arial"/>
          <w:color w:val="000000"/>
        </w:rPr>
        <w:t>líquido</w:t>
      </w:r>
      <w:r w:rsidR="001A3BF5">
        <w:rPr>
          <w:rFonts w:eastAsia="Arial" w:cs="Arial"/>
          <w:color w:val="000000"/>
        </w:rPr>
        <w:t>. O custo dos inventários inclui todos os custos de compra, custos de conversão e outros custos incorridos para colocar os inventários n</w:t>
      </w:r>
      <w:r w:rsidR="004A5FC1">
        <w:rPr>
          <w:rFonts w:eastAsia="Arial" w:cs="Arial"/>
          <w:color w:val="000000"/>
        </w:rPr>
        <w:t>o seu local e na sua condição a</w:t>
      </w:r>
      <w:r w:rsidR="001A3BF5">
        <w:rPr>
          <w:rFonts w:eastAsia="Arial" w:cs="Arial"/>
          <w:color w:val="000000"/>
        </w:rPr>
        <w:t>tual.</w:t>
      </w:r>
    </w:p>
    <w:p w14:paraId="6BF2ADE6" w14:textId="77777777" w:rsidR="001A3BF5" w:rsidRDefault="001A3BF5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58064332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O valor realizável líquido corresponde ao preço de venda estimado deduzido dos custos estimados de comercialização.</w:t>
      </w:r>
    </w:p>
    <w:p w14:paraId="034CC2A3" w14:textId="77777777" w:rsidR="00DF49A4" w:rsidRDefault="00DF49A4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</w:p>
    <w:p w14:paraId="32D3A927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</w:p>
    <w:p w14:paraId="7D0D1103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>INSTRUMENTOS FINANCEIROS (NCRF 27)</w:t>
      </w:r>
    </w:p>
    <w:p w14:paraId="79529ABF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7107788F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Os instrumentos financeiros encontram-se valorizados de acordo com os seguintes critérios:</w:t>
      </w:r>
    </w:p>
    <w:p w14:paraId="46A90ACC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</w:p>
    <w:p w14:paraId="5E100FE5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Clientes e outras dívidas de terceiros</w:t>
      </w:r>
    </w:p>
    <w:p w14:paraId="293EB197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652FA8D2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Nos termos da NCRF 27 as entidades podem utilizar dois métodos para valorizar as contas de clientes </w:t>
      </w:r>
      <w:r>
        <w:rPr>
          <w:rFonts w:eastAsia="Arial" w:cs="Arial"/>
          <w:i/>
          <w:iCs/>
          <w:color w:val="000000"/>
        </w:rPr>
        <w:t xml:space="preserve">e </w:t>
      </w:r>
      <w:r>
        <w:rPr>
          <w:rFonts w:eastAsia="Arial" w:cs="Arial"/>
          <w:color w:val="000000"/>
        </w:rPr>
        <w:t>de outros terceiros: i) o método do custo, ou i</w:t>
      </w:r>
      <w:r w:rsidR="0007430C">
        <w:rPr>
          <w:rFonts w:eastAsia="Arial" w:cs="Arial"/>
          <w:color w:val="000000"/>
        </w:rPr>
        <w:t xml:space="preserve">i) o método do custo amortizado, sendo que a entidade optou pelo método do custo, tendo as </w:t>
      </w:r>
      <w:r>
        <w:rPr>
          <w:rFonts w:eastAsia="Arial" w:cs="Arial"/>
          <w:color w:val="000000"/>
        </w:rPr>
        <w:t xml:space="preserve">dívidas de clientes ou de outros terceiros </w:t>
      </w:r>
      <w:r w:rsidR="0007430C">
        <w:rPr>
          <w:rFonts w:eastAsia="Arial" w:cs="Arial"/>
          <w:color w:val="000000"/>
        </w:rPr>
        <w:t>sido</w:t>
      </w:r>
      <w:r>
        <w:rPr>
          <w:rFonts w:eastAsia="Arial" w:cs="Arial"/>
          <w:color w:val="000000"/>
        </w:rPr>
        <w:t xml:space="preserve"> registadas pelo seu valor nominal dado que não vencem juros</w:t>
      </w:r>
      <w:r w:rsidR="003E62D7">
        <w:rPr>
          <w:rFonts w:eastAsia="Arial" w:cs="Arial"/>
          <w:color w:val="000000"/>
        </w:rPr>
        <w:t>.</w:t>
      </w:r>
    </w:p>
    <w:p w14:paraId="706C7E9E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</w:p>
    <w:p w14:paraId="0D4256AF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Fornecedores e outras dívidas a terceiros</w:t>
      </w:r>
    </w:p>
    <w:p w14:paraId="45041E9D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4A1738DD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Nos termos da NCRF 27 as entidades podem utilizar dois métodos para valorizar as contas de fornecedores e de outros terceiros: i) o método do custo, ou i</w:t>
      </w:r>
      <w:r w:rsidR="0007430C">
        <w:rPr>
          <w:rFonts w:eastAsia="Arial" w:cs="Arial"/>
          <w:color w:val="000000"/>
        </w:rPr>
        <w:t xml:space="preserve">i) o método do custo amortizado, sendo que a entidade optou pelo método do custo, tendo as </w:t>
      </w:r>
      <w:r>
        <w:rPr>
          <w:rFonts w:eastAsia="Arial" w:cs="Arial"/>
          <w:color w:val="000000"/>
        </w:rPr>
        <w:t>dívidas a forne</w:t>
      </w:r>
      <w:r w:rsidR="0007430C">
        <w:rPr>
          <w:rFonts w:eastAsia="Arial" w:cs="Arial"/>
          <w:color w:val="000000"/>
        </w:rPr>
        <w:t>cedores ou a outros terceiros sido</w:t>
      </w:r>
      <w:r>
        <w:rPr>
          <w:rFonts w:eastAsia="Arial" w:cs="Arial"/>
          <w:color w:val="000000"/>
        </w:rPr>
        <w:t xml:space="preserve"> registadas pelo seu valor nominal d</w:t>
      </w:r>
      <w:r w:rsidR="003E62D7">
        <w:rPr>
          <w:rFonts w:eastAsia="Arial" w:cs="Arial"/>
          <w:color w:val="000000"/>
        </w:rPr>
        <w:t>ado que não vencem juros</w:t>
      </w:r>
      <w:r>
        <w:rPr>
          <w:rFonts w:eastAsia="Arial" w:cs="Arial"/>
          <w:color w:val="000000"/>
        </w:rPr>
        <w:t>.</w:t>
      </w:r>
    </w:p>
    <w:p w14:paraId="77ED493A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</w:p>
    <w:p w14:paraId="651F3931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Caixa e Depósitos bancários</w:t>
      </w:r>
    </w:p>
    <w:p w14:paraId="79E20834" w14:textId="77777777" w:rsidR="00277830" w:rsidRDefault="00277830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6F61B94F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Os montantes incluídos na rubrica caixa e seus equivalentes correspondem aos valores em caixa e depósitos bancários, ambos imediatamente realizáveis. </w:t>
      </w:r>
    </w:p>
    <w:p w14:paraId="130F06CF" w14:textId="77777777" w:rsidR="00277830" w:rsidRDefault="00277830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</w:p>
    <w:p w14:paraId="4284F776" w14:textId="77777777" w:rsidR="00676D47" w:rsidRDefault="00676D47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</w:p>
    <w:p w14:paraId="02162F8E" w14:textId="77777777" w:rsidR="00FA07EA" w:rsidRDefault="004A653B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>3.2</w:t>
      </w:r>
      <w:r w:rsidR="00FA07EA">
        <w:rPr>
          <w:rFonts w:eastAsia="Arial" w:cs="Arial"/>
          <w:b/>
          <w:bCs/>
          <w:i/>
          <w:iCs/>
          <w:color w:val="000000"/>
        </w:rPr>
        <w:t xml:space="preserve"> - Principais pressupostos relativos ao futuro (envolvendo risco significativo de provocar ajustamento material nas quantias escrituradas de ativos e passivos durante o ano financeiro seguinte):</w:t>
      </w:r>
    </w:p>
    <w:p w14:paraId="282B0B37" w14:textId="77777777" w:rsidR="003E62D7" w:rsidRDefault="003E62D7" w:rsidP="005A1BBF">
      <w:pPr>
        <w:shd w:val="clear" w:color="auto" w:fill="FFFFFF"/>
        <w:autoSpaceDE w:val="0"/>
        <w:jc w:val="both"/>
        <w:rPr>
          <w:rFonts w:eastAsia="Arial" w:cs="Arial"/>
          <w:bCs/>
          <w:iCs/>
          <w:color w:val="000000"/>
        </w:rPr>
      </w:pPr>
    </w:p>
    <w:p w14:paraId="165A1267" w14:textId="77777777" w:rsidR="00FA07EA" w:rsidRPr="0042123D" w:rsidRDefault="0042123D" w:rsidP="003E62D7">
      <w:pPr>
        <w:shd w:val="clear" w:color="auto" w:fill="FFFFFF"/>
        <w:autoSpaceDE w:val="0"/>
        <w:ind w:firstLine="709"/>
        <w:jc w:val="both"/>
        <w:rPr>
          <w:rFonts w:eastAsia="Arial" w:cs="Arial"/>
          <w:bCs/>
          <w:iCs/>
          <w:color w:val="000000"/>
        </w:rPr>
      </w:pPr>
      <w:r w:rsidRPr="0042123D">
        <w:rPr>
          <w:rFonts w:eastAsia="Arial" w:cs="Arial"/>
          <w:bCs/>
          <w:iCs/>
          <w:color w:val="000000"/>
        </w:rPr>
        <w:t>As demonstrações financeir</w:t>
      </w:r>
      <w:r w:rsidR="004A5FC1">
        <w:rPr>
          <w:rFonts w:eastAsia="Arial" w:cs="Arial"/>
          <w:bCs/>
          <w:iCs/>
          <w:color w:val="000000"/>
        </w:rPr>
        <w:t>as foram preparadas numa perspe</w:t>
      </w:r>
      <w:r w:rsidRPr="0042123D">
        <w:rPr>
          <w:rFonts w:eastAsia="Arial" w:cs="Arial"/>
          <w:bCs/>
          <w:iCs/>
          <w:color w:val="000000"/>
        </w:rPr>
        <w:t>tiva de continuidade não tendo a entidade intenção nem a necessidade de liquidar ou reduzir drasticamente o seu nível de operações.</w:t>
      </w:r>
    </w:p>
    <w:p w14:paraId="1880C699" w14:textId="77777777" w:rsidR="0042123D" w:rsidRDefault="0042123D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</w:p>
    <w:p w14:paraId="1F4F9282" w14:textId="77777777" w:rsidR="00676D47" w:rsidRDefault="00676D47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</w:p>
    <w:p w14:paraId="4AB43E2C" w14:textId="77777777" w:rsidR="00FA07EA" w:rsidRDefault="0042123D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>3.</w:t>
      </w:r>
      <w:r w:rsidR="004A653B">
        <w:rPr>
          <w:rFonts w:eastAsia="Arial" w:cs="Arial"/>
          <w:b/>
          <w:bCs/>
          <w:i/>
          <w:iCs/>
          <w:color w:val="000000"/>
        </w:rPr>
        <w:t>3</w:t>
      </w:r>
      <w:r w:rsidR="00FA07EA">
        <w:rPr>
          <w:rFonts w:eastAsia="Arial" w:cs="Arial"/>
          <w:b/>
          <w:bCs/>
          <w:i/>
          <w:iCs/>
          <w:color w:val="000000"/>
        </w:rPr>
        <w:t xml:space="preserve"> - Principais fontes de incerteza das estimativas (envolvendo risco significativo de provocar ajustamento material nas quantias escrituradas de ativos e passivos durante o ano financeiro seguinte):</w:t>
      </w:r>
    </w:p>
    <w:p w14:paraId="7FC1F99E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</w:p>
    <w:p w14:paraId="4F922838" w14:textId="77777777" w:rsidR="00FA07EA" w:rsidRDefault="00FA07EA" w:rsidP="003E62D7">
      <w:pPr>
        <w:shd w:val="clear" w:color="auto" w:fill="FFFFFF"/>
        <w:autoSpaceDE w:val="0"/>
        <w:ind w:firstLine="709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As estimativas são baseadas no melhor conhecimento existente em cada momento e nas ações que se planeiam realizar, sendo periodicamente revistas com base na informação disponível</w:t>
      </w:r>
      <w:r w:rsidR="0042123D">
        <w:rPr>
          <w:rFonts w:eastAsia="Arial" w:cs="Arial"/>
          <w:color w:val="000000"/>
        </w:rPr>
        <w:t>. Nesta data não existem situações que afetem ou coloquem algum grau de incerteza materialmente relevante nas estimativas previstas nas demonstrações financeiras.</w:t>
      </w:r>
    </w:p>
    <w:p w14:paraId="351DD612" w14:textId="77777777" w:rsidR="00FA07EA" w:rsidRDefault="00FA07EA" w:rsidP="005A1BBF">
      <w:pPr>
        <w:shd w:val="clear" w:color="auto" w:fill="FFFFFF"/>
        <w:autoSpaceDE w:val="0"/>
        <w:jc w:val="both"/>
      </w:pPr>
      <w:r>
        <w:t xml:space="preserve"> </w:t>
      </w:r>
    </w:p>
    <w:p w14:paraId="54AA2F54" w14:textId="2BB4FF16" w:rsidR="00FA07EA" w:rsidRPr="000F25DF" w:rsidRDefault="00216198" w:rsidP="005A1BBF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0F25DF">
        <w:rPr>
          <w:rFonts w:eastAsia="Arial" w:cs="Arial"/>
          <w:b/>
          <w:bCs/>
          <w:sz w:val="28"/>
          <w:szCs w:val="28"/>
        </w:rPr>
        <w:fldChar w:fldCharType="begin"/>
      </w:r>
      <w:r w:rsidR="00FA07EA" w:rsidRPr="000F25DF">
        <w:rPr>
          <w:rFonts w:eastAsia="Arial" w:cs="Arial"/>
          <w:b/>
          <w:bCs/>
          <w:sz w:val="28"/>
          <w:szCs w:val="28"/>
        </w:rPr>
        <w:instrText xml:space="preserve"> SEQ "Nota" \*Arabic </w:instrText>
      </w:r>
      <w:r w:rsidRPr="000F25DF">
        <w:rPr>
          <w:rFonts w:eastAsia="Arial" w:cs="Arial"/>
          <w:b/>
          <w:bCs/>
          <w:sz w:val="28"/>
          <w:szCs w:val="28"/>
        </w:rPr>
        <w:fldChar w:fldCharType="separate"/>
      </w:r>
      <w:r w:rsidR="001B486E">
        <w:rPr>
          <w:rFonts w:eastAsia="Arial" w:cs="Arial"/>
          <w:b/>
          <w:bCs/>
          <w:noProof/>
          <w:sz w:val="28"/>
          <w:szCs w:val="28"/>
        </w:rPr>
        <w:t>4</w:t>
      </w:r>
      <w:r w:rsidRPr="000F25DF">
        <w:rPr>
          <w:rFonts w:eastAsia="Arial" w:cs="Arial"/>
          <w:b/>
          <w:bCs/>
          <w:sz w:val="28"/>
          <w:szCs w:val="28"/>
        </w:rPr>
        <w:fldChar w:fldCharType="end"/>
      </w:r>
      <w:r w:rsidR="00FA07EA" w:rsidRPr="000F25DF">
        <w:rPr>
          <w:rFonts w:ascii="Arial" w:eastAsia="Arial" w:hAnsi="Arial" w:cs="Arial"/>
          <w:b/>
          <w:bCs/>
          <w:sz w:val="28"/>
          <w:szCs w:val="28"/>
        </w:rPr>
        <w:t xml:space="preserve"> – Fluxos de caixa</w:t>
      </w:r>
    </w:p>
    <w:p w14:paraId="1FE68B99" w14:textId="77777777" w:rsidR="00FA07EA" w:rsidRPr="000F25DF" w:rsidRDefault="00FA07EA" w:rsidP="005A1BBF">
      <w:pPr>
        <w:jc w:val="both"/>
        <w:rPr>
          <w:rFonts w:eastAsia="Times New Roman" w:cs="Times New Roman"/>
        </w:rPr>
      </w:pPr>
    </w:p>
    <w:p w14:paraId="6A863D81" w14:textId="77777777" w:rsidR="00FA07EA" w:rsidRPr="000F25DF" w:rsidRDefault="00FA07EA" w:rsidP="005A1BBF">
      <w:pPr>
        <w:shd w:val="clear" w:color="auto" w:fill="FFFFFF"/>
        <w:autoSpaceDE w:val="0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0F25DF">
        <w:rPr>
          <w:rFonts w:ascii="Arial" w:eastAsia="Arial" w:hAnsi="Arial" w:cs="Arial"/>
          <w:b/>
          <w:bCs/>
          <w:i/>
          <w:iCs/>
          <w:sz w:val="21"/>
          <w:szCs w:val="21"/>
        </w:rPr>
        <w:t>4.</w:t>
      </w:r>
      <w:r w:rsidR="0013086B" w:rsidRPr="000F25DF">
        <w:rPr>
          <w:rFonts w:ascii="Arial" w:eastAsia="Arial" w:hAnsi="Arial" w:cs="Arial"/>
          <w:b/>
          <w:bCs/>
          <w:i/>
          <w:iCs/>
          <w:sz w:val="21"/>
          <w:szCs w:val="21"/>
        </w:rPr>
        <w:t>1</w:t>
      </w:r>
      <w:r w:rsidRPr="000F25DF">
        <w:rPr>
          <w:rFonts w:ascii="Arial" w:eastAsia="Arial" w:hAnsi="Arial" w:cs="Arial"/>
          <w:b/>
          <w:bCs/>
          <w:i/>
          <w:iCs/>
          <w:sz w:val="21"/>
          <w:szCs w:val="21"/>
        </w:rPr>
        <w:t>- Desagregação dos valores inscritos na rubrica de caixa e em depósitos bancários.</w:t>
      </w:r>
    </w:p>
    <w:p w14:paraId="3AF25E4C" w14:textId="77777777" w:rsidR="00C07646" w:rsidRPr="000F25DF" w:rsidRDefault="00C07646" w:rsidP="005A1BBF">
      <w:pPr>
        <w:shd w:val="clear" w:color="auto" w:fill="FFFFFF"/>
        <w:autoSpaceDE w:val="0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</w:p>
    <w:bookmarkStart w:id="6" w:name="_MON_1361686155"/>
    <w:bookmarkStart w:id="7" w:name="_MON_1361686234"/>
    <w:bookmarkStart w:id="8" w:name="_MON_1363697493"/>
    <w:bookmarkStart w:id="9" w:name="_MON_1366489970"/>
    <w:bookmarkEnd w:id="6"/>
    <w:bookmarkEnd w:id="7"/>
    <w:bookmarkEnd w:id="8"/>
    <w:bookmarkEnd w:id="9"/>
    <w:bookmarkStart w:id="10" w:name="_MON_1361686128"/>
    <w:bookmarkEnd w:id="10"/>
    <w:p w14:paraId="7F185AAE" w14:textId="06467005" w:rsidR="00100C65" w:rsidRDefault="00366517" w:rsidP="00AA0D61">
      <w:pPr>
        <w:jc w:val="both"/>
      </w:pPr>
      <w:r w:rsidRPr="00533934">
        <w:object w:dxaOrig="11387" w:dyaOrig="1994" w14:anchorId="609A9BA8">
          <v:shape id="_x0000_i1026" type="#_x0000_t75" style="width:513.75pt;height:96.75pt" o:ole="" o:preferrelative="f" filled="t">
            <v:fill color2="black"/>
            <v:imagedata r:id="rId10" o:title=""/>
            <o:lock v:ext="edit" aspectratio="f"/>
          </v:shape>
          <o:OLEObject Type="Embed" ProgID="Excel.Sheet.8" ShapeID="_x0000_i1026" DrawAspect="Content" ObjectID="_1771668121" r:id="rId11"/>
        </w:object>
      </w:r>
    </w:p>
    <w:p w14:paraId="645BB394" w14:textId="77777777" w:rsidR="00FA07EA" w:rsidRDefault="00FA07EA" w:rsidP="005A1BBF">
      <w:pPr>
        <w:jc w:val="both"/>
      </w:pPr>
    </w:p>
    <w:p w14:paraId="2D052409" w14:textId="77777777" w:rsidR="00FA07EA" w:rsidRDefault="00D9037A" w:rsidP="005A1BBF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5</w:t>
      </w:r>
      <w:r w:rsidR="00FA07EA">
        <w:rPr>
          <w:rFonts w:ascii="Arial" w:eastAsia="Arial" w:hAnsi="Arial" w:cs="Arial"/>
          <w:b/>
          <w:bCs/>
          <w:sz w:val="28"/>
          <w:szCs w:val="28"/>
        </w:rPr>
        <w:t xml:space="preserve"> – Ativos intangíveis</w:t>
      </w:r>
    </w:p>
    <w:p w14:paraId="39443CFE" w14:textId="77777777" w:rsidR="00FA07EA" w:rsidRDefault="00FA07EA" w:rsidP="005A1BBF">
      <w:pPr>
        <w:jc w:val="both"/>
        <w:rPr>
          <w:rFonts w:eastAsia="Arial" w:cs="Arial"/>
        </w:rPr>
      </w:pPr>
    </w:p>
    <w:p w14:paraId="09E4C04E" w14:textId="77777777" w:rsidR="00FA07EA" w:rsidRDefault="00D9037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>5</w:t>
      </w:r>
      <w:r w:rsidR="009E5D66">
        <w:rPr>
          <w:rFonts w:eastAsia="Arial" w:cs="Arial"/>
          <w:b/>
          <w:bCs/>
          <w:i/>
          <w:iCs/>
          <w:color w:val="000000"/>
        </w:rPr>
        <w:t>.1 - Divulgação</w:t>
      </w:r>
      <w:r w:rsidR="00FA07EA">
        <w:rPr>
          <w:rFonts w:eastAsia="Arial" w:cs="Arial"/>
          <w:b/>
          <w:bCs/>
          <w:i/>
          <w:iCs/>
          <w:color w:val="000000"/>
        </w:rPr>
        <w:t xml:space="preserve"> para cada classe de ativos intangíveis, distinguindo entre os ativos intangíveis gerados internamente e outros ativos intangíveis:</w:t>
      </w:r>
    </w:p>
    <w:p w14:paraId="27B2369F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i/>
          <w:iCs/>
          <w:color w:val="000000"/>
        </w:rPr>
      </w:pPr>
    </w:p>
    <w:p w14:paraId="6C5D0DBE" w14:textId="4CF91BC4" w:rsidR="00FA07EA" w:rsidRDefault="00366517" w:rsidP="005A1BBF">
      <w:pPr>
        <w:jc w:val="both"/>
      </w:pPr>
      <w:r>
        <w:rPr>
          <w:rFonts w:eastAsia="Arial" w:cs="Arial"/>
          <w:bCs/>
          <w:color w:val="000000"/>
        </w:rPr>
        <w:t>Sem alterações.</w:t>
      </w:r>
    </w:p>
    <w:p w14:paraId="48E5118F" w14:textId="77777777" w:rsidR="00676D47" w:rsidRDefault="00676D47" w:rsidP="005A1BBF">
      <w:pPr>
        <w:jc w:val="both"/>
        <w:rPr>
          <w:rFonts w:eastAsia="Arial" w:cs="Arial"/>
          <w:b/>
          <w:bCs/>
          <w:sz w:val="28"/>
          <w:szCs w:val="28"/>
        </w:rPr>
      </w:pPr>
    </w:p>
    <w:p w14:paraId="16DF6535" w14:textId="77777777" w:rsidR="00FA07EA" w:rsidRPr="00D0414B" w:rsidRDefault="00EE74D0" w:rsidP="005A1BBF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D0414B">
        <w:rPr>
          <w:rFonts w:eastAsia="Arial" w:cs="Arial"/>
          <w:b/>
          <w:bCs/>
          <w:sz w:val="28"/>
          <w:szCs w:val="28"/>
        </w:rPr>
        <w:t>6</w:t>
      </w:r>
      <w:r w:rsidR="00FA07EA" w:rsidRPr="00D0414B">
        <w:rPr>
          <w:rFonts w:ascii="Arial" w:eastAsia="Arial" w:hAnsi="Arial" w:cs="Arial"/>
          <w:b/>
          <w:bCs/>
          <w:sz w:val="28"/>
          <w:szCs w:val="28"/>
        </w:rPr>
        <w:t xml:space="preserve"> – Ativos fixos tangíveis</w:t>
      </w:r>
    </w:p>
    <w:p w14:paraId="133A55F5" w14:textId="77777777" w:rsidR="00FA07EA" w:rsidRPr="00D0414B" w:rsidRDefault="00FA07EA" w:rsidP="005A1BBF">
      <w:pPr>
        <w:jc w:val="both"/>
      </w:pPr>
    </w:p>
    <w:p w14:paraId="40005838" w14:textId="77777777" w:rsidR="00FA07EA" w:rsidRPr="00D0414B" w:rsidRDefault="00EE74D0" w:rsidP="005A1BBF">
      <w:pPr>
        <w:shd w:val="clear" w:color="auto" w:fill="FFFFFF"/>
        <w:autoSpaceDE w:val="0"/>
        <w:jc w:val="both"/>
        <w:rPr>
          <w:b/>
          <w:bCs/>
        </w:rPr>
      </w:pPr>
      <w:r w:rsidRPr="00D0414B">
        <w:rPr>
          <w:b/>
          <w:bCs/>
        </w:rPr>
        <w:t>6</w:t>
      </w:r>
      <w:r w:rsidR="00FA07EA" w:rsidRPr="00D0414B">
        <w:rPr>
          <w:b/>
          <w:bCs/>
        </w:rPr>
        <w:t>.1 - Divulgações sobre ativos fixos tangíveis:</w:t>
      </w:r>
    </w:p>
    <w:p w14:paraId="6845295E" w14:textId="77777777" w:rsidR="00FA07EA" w:rsidRPr="00D0414B" w:rsidRDefault="00FA07EA" w:rsidP="005A1BBF">
      <w:pPr>
        <w:shd w:val="clear" w:color="auto" w:fill="FFFFFF"/>
        <w:autoSpaceDE w:val="0"/>
        <w:jc w:val="both"/>
        <w:rPr>
          <w:rFonts w:eastAsia="Arial" w:cs="Arial"/>
        </w:rPr>
      </w:pPr>
    </w:p>
    <w:p w14:paraId="4050F0DC" w14:textId="77777777" w:rsidR="00FA07EA" w:rsidRPr="00D0414B" w:rsidRDefault="00410791" w:rsidP="005A1BBF">
      <w:pPr>
        <w:shd w:val="clear" w:color="auto" w:fill="FFFFFF"/>
        <w:autoSpaceDE w:val="0"/>
        <w:jc w:val="both"/>
        <w:rPr>
          <w:rFonts w:eastAsia="Arial" w:cs="Arial"/>
        </w:rPr>
      </w:pPr>
      <w:r w:rsidRPr="00D0414B">
        <w:rPr>
          <w:rFonts w:eastAsia="Arial" w:cs="Arial"/>
        </w:rPr>
        <w:t>A</w:t>
      </w:r>
      <w:r w:rsidR="00FA07EA" w:rsidRPr="00D0414B">
        <w:rPr>
          <w:rFonts w:eastAsia="Arial" w:cs="Arial"/>
        </w:rPr>
        <w:t xml:space="preserve"> Base</w:t>
      </w:r>
      <w:r w:rsidRPr="00D0414B">
        <w:rPr>
          <w:rFonts w:eastAsia="Arial" w:cs="Arial"/>
        </w:rPr>
        <w:t xml:space="preserve"> de mensuração usada</w:t>
      </w:r>
      <w:r w:rsidR="00FA07EA" w:rsidRPr="00D0414B">
        <w:rPr>
          <w:rFonts w:eastAsia="Arial" w:cs="Arial"/>
        </w:rPr>
        <w:t xml:space="preserve"> para determi</w:t>
      </w:r>
      <w:r w:rsidRPr="00D0414B">
        <w:rPr>
          <w:rFonts w:eastAsia="Arial" w:cs="Arial"/>
        </w:rPr>
        <w:t xml:space="preserve">nar a quantia escriturada bruta foi a do método do custo e o </w:t>
      </w:r>
      <w:r w:rsidRPr="00D0414B">
        <w:rPr>
          <w:rFonts w:eastAsia="Arial" w:cs="Arial"/>
          <w:kern w:val="24"/>
        </w:rPr>
        <w:t>método</w:t>
      </w:r>
      <w:r w:rsidRPr="00D0414B">
        <w:rPr>
          <w:rFonts w:eastAsia="Arial" w:cs="Arial"/>
        </w:rPr>
        <w:t xml:space="preserve"> de depreciação de linha reta.</w:t>
      </w:r>
    </w:p>
    <w:p w14:paraId="7C350F78" w14:textId="77777777" w:rsidR="00FA07EA" w:rsidRPr="00D0414B" w:rsidRDefault="00FA07EA" w:rsidP="005A1BBF">
      <w:pPr>
        <w:shd w:val="clear" w:color="auto" w:fill="FFFFFF"/>
        <w:autoSpaceDE w:val="0"/>
        <w:jc w:val="both"/>
        <w:rPr>
          <w:rFonts w:eastAsia="Arial" w:cs="Arial"/>
        </w:rPr>
      </w:pPr>
    </w:p>
    <w:p w14:paraId="1A9F6FD9" w14:textId="77777777" w:rsidR="00410791" w:rsidRPr="00D0414B" w:rsidRDefault="00410791" w:rsidP="005A1BBF">
      <w:pPr>
        <w:shd w:val="clear" w:color="auto" w:fill="FFFFFF"/>
        <w:autoSpaceDE w:val="0"/>
        <w:jc w:val="both"/>
        <w:rPr>
          <w:rFonts w:eastAsia="Arial" w:cs="Arial"/>
        </w:rPr>
      </w:pPr>
      <w:r w:rsidRPr="007B2857">
        <w:rPr>
          <w:rFonts w:eastAsia="Arial" w:cs="Arial"/>
        </w:rPr>
        <w:t>As vidas úteis consideradas de cada ativo são as consideradas fiscalmente aceites no seu término máximo de vida.</w:t>
      </w:r>
    </w:p>
    <w:p w14:paraId="7192980B" w14:textId="77777777" w:rsidR="00FA07EA" w:rsidRPr="00D0414B" w:rsidRDefault="00FA07EA" w:rsidP="005A1BBF">
      <w:pPr>
        <w:shd w:val="clear" w:color="auto" w:fill="FFFFFF"/>
        <w:autoSpaceDE w:val="0"/>
        <w:jc w:val="both"/>
        <w:rPr>
          <w:rFonts w:eastAsia="Arial" w:cs="Arial"/>
        </w:rPr>
      </w:pPr>
    </w:p>
    <w:p w14:paraId="1FDFD163" w14:textId="77777777" w:rsidR="0013086B" w:rsidRPr="00D0414B" w:rsidRDefault="0013086B" w:rsidP="005A1BBF">
      <w:pPr>
        <w:shd w:val="clear" w:color="auto" w:fill="FFFFFF"/>
        <w:autoSpaceDE w:val="0"/>
        <w:jc w:val="both"/>
        <w:rPr>
          <w:rFonts w:eastAsia="Arial" w:cs="Arial"/>
        </w:rPr>
        <w:sectPr w:rsidR="0013086B" w:rsidRPr="00D0414B" w:rsidSect="00D562A5">
          <w:headerReference w:type="default" r:id="rId12"/>
          <w:footerReference w:type="default" r:id="rId13"/>
          <w:pgSz w:w="11906" w:h="16838" w:code="10"/>
          <w:pgMar w:top="731" w:right="720" w:bottom="720" w:left="720" w:header="142" w:footer="930" w:gutter="0"/>
          <w:cols w:space="720"/>
          <w:docGrid w:linePitch="326"/>
        </w:sectPr>
      </w:pPr>
    </w:p>
    <w:bookmarkStart w:id="11" w:name="_MON_1365888135"/>
    <w:bookmarkStart w:id="12" w:name="_MON_1365887894"/>
    <w:bookmarkStart w:id="13" w:name="_MON_1365888094"/>
    <w:bookmarkEnd w:id="11"/>
    <w:bookmarkEnd w:id="12"/>
    <w:bookmarkEnd w:id="13"/>
    <w:bookmarkStart w:id="14" w:name="_MON_1365888107"/>
    <w:bookmarkEnd w:id="14"/>
    <w:p w14:paraId="68709250" w14:textId="4783484D" w:rsidR="0013086B" w:rsidRDefault="000E7B5E" w:rsidP="005A1BBF">
      <w:pPr>
        <w:shd w:val="clear" w:color="auto" w:fill="FFFFFF"/>
        <w:autoSpaceDE w:val="0"/>
        <w:jc w:val="both"/>
        <w:sectPr w:rsidR="0013086B" w:rsidSect="00F160CA">
          <w:pgSz w:w="16838" w:h="11906" w:orient="landscape" w:code="10"/>
          <w:pgMar w:top="886" w:right="720" w:bottom="720" w:left="720" w:header="142" w:footer="189" w:gutter="0"/>
          <w:cols w:space="720"/>
          <w:docGrid w:linePitch="326"/>
        </w:sectPr>
      </w:pPr>
      <w:r>
        <w:object w:dxaOrig="23145" w:dyaOrig="9662" w14:anchorId="26526F93">
          <v:shape id="_x0000_i1027" type="#_x0000_t75" style="width:820.5pt;height:471.75pt" o:ole="" o:preferrelative="f" filled="t">
            <v:fill color2="black"/>
            <v:imagedata r:id="rId14" o:title=""/>
          </v:shape>
          <o:OLEObject Type="Embed" ProgID="Excel.Sheet.8" ShapeID="_x0000_i1027" DrawAspect="Content" ObjectID="_1771668122" r:id="rId15"/>
        </w:object>
      </w:r>
    </w:p>
    <w:p w14:paraId="41A9EE9D" w14:textId="77777777" w:rsidR="00676D47" w:rsidRPr="00093EF8" w:rsidRDefault="00676D47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FF0000"/>
        </w:rPr>
      </w:pPr>
    </w:p>
    <w:p w14:paraId="2F33D7ED" w14:textId="77777777" w:rsidR="00676D47" w:rsidRPr="00093EF8" w:rsidRDefault="00676D47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FF0000"/>
        </w:rPr>
      </w:pPr>
    </w:p>
    <w:p w14:paraId="72EF5F3C" w14:textId="77777777" w:rsidR="00FA07EA" w:rsidRPr="004660CE" w:rsidRDefault="00EE74D0" w:rsidP="005A1BBF">
      <w:pPr>
        <w:shd w:val="clear" w:color="auto" w:fill="FFFFFF"/>
        <w:autoSpaceDE w:val="0"/>
        <w:jc w:val="both"/>
        <w:rPr>
          <w:rFonts w:eastAsia="Arial" w:cs="Arial"/>
          <w:b/>
          <w:bCs/>
        </w:rPr>
      </w:pPr>
      <w:r w:rsidRPr="004660CE">
        <w:rPr>
          <w:rFonts w:eastAsia="Arial" w:cs="Arial"/>
          <w:b/>
          <w:bCs/>
        </w:rPr>
        <w:t>6</w:t>
      </w:r>
      <w:r w:rsidR="000F66BC" w:rsidRPr="004660CE">
        <w:rPr>
          <w:rFonts w:eastAsia="Arial" w:cs="Arial"/>
          <w:b/>
          <w:bCs/>
        </w:rPr>
        <w:t>.</w:t>
      </w:r>
      <w:r w:rsidR="00D9037A" w:rsidRPr="004660CE">
        <w:rPr>
          <w:rFonts w:eastAsia="Arial" w:cs="Arial"/>
          <w:b/>
          <w:bCs/>
        </w:rPr>
        <w:t>2</w:t>
      </w:r>
      <w:r w:rsidR="00FA07EA" w:rsidRPr="004660CE">
        <w:rPr>
          <w:rFonts w:eastAsia="Arial" w:cs="Arial"/>
          <w:b/>
          <w:bCs/>
        </w:rPr>
        <w:t>- Depreciação acumulada no final do período.</w:t>
      </w:r>
    </w:p>
    <w:p w14:paraId="64256D37" w14:textId="77777777" w:rsidR="00410791" w:rsidRPr="004660CE" w:rsidRDefault="00410791" w:rsidP="005A1BBF">
      <w:pPr>
        <w:shd w:val="clear" w:color="auto" w:fill="FFFFFF"/>
        <w:autoSpaceDE w:val="0"/>
        <w:jc w:val="both"/>
        <w:rPr>
          <w:rFonts w:eastAsia="Arial" w:cs="Arial"/>
          <w:bCs/>
        </w:rPr>
      </w:pPr>
    </w:p>
    <w:p w14:paraId="0ADBD0E4" w14:textId="14BADF81" w:rsidR="00545514" w:rsidRPr="006158DA" w:rsidRDefault="00410791" w:rsidP="005A1BBF">
      <w:pPr>
        <w:shd w:val="clear" w:color="auto" w:fill="FFFFFF"/>
        <w:autoSpaceDE w:val="0"/>
        <w:jc w:val="both"/>
        <w:rPr>
          <w:rFonts w:eastAsia="Arial" w:cs="Arial"/>
          <w:bCs/>
        </w:rPr>
      </w:pPr>
      <w:r w:rsidRPr="003A7C8F">
        <w:rPr>
          <w:rFonts w:eastAsia="Arial" w:cs="Arial"/>
          <w:bCs/>
        </w:rPr>
        <w:t>As depreciações acumuladas</w:t>
      </w:r>
      <w:r w:rsidR="004660CE" w:rsidRPr="003A7C8F">
        <w:rPr>
          <w:rFonts w:eastAsia="Arial" w:cs="Arial"/>
          <w:bCs/>
        </w:rPr>
        <w:t xml:space="preserve"> em ativos fixos tangíveis </w:t>
      </w:r>
      <w:r w:rsidRPr="003A7C8F">
        <w:rPr>
          <w:rFonts w:eastAsia="Arial" w:cs="Arial"/>
          <w:bCs/>
        </w:rPr>
        <w:t>no final do período de 20</w:t>
      </w:r>
      <w:r w:rsidR="007B2857">
        <w:rPr>
          <w:rFonts w:eastAsia="Arial" w:cs="Arial"/>
          <w:bCs/>
        </w:rPr>
        <w:t>2</w:t>
      </w:r>
      <w:r w:rsidR="000E7B5E">
        <w:rPr>
          <w:rFonts w:eastAsia="Arial" w:cs="Arial"/>
          <w:bCs/>
        </w:rPr>
        <w:t>3</w:t>
      </w:r>
      <w:r w:rsidR="00972CBC" w:rsidRPr="003A7C8F">
        <w:rPr>
          <w:rFonts w:eastAsia="Arial" w:cs="Arial"/>
          <w:bCs/>
        </w:rPr>
        <w:t xml:space="preserve"> </w:t>
      </w:r>
      <w:r w:rsidRPr="003A7C8F">
        <w:rPr>
          <w:rFonts w:eastAsia="Arial" w:cs="Arial"/>
          <w:bCs/>
        </w:rPr>
        <w:t xml:space="preserve">ascendem a </w:t>
      </w:r>
      <w:r w:rsidR="00072503">
        <w:rPr>
          <w:rFonts w:eastAsia="Arial" w:cs="Arial"/>
          <w:bCs/>
        </w:rPr>
        <w:t>4</w:t>
      </w:r>
      <w:r w:rsidR="000E7B5E">
        <w:rPr>
          <w:rFonts w:eastAsia="Arial" w:cs="Arial"/>
          <w:bCs/>
        </w:rPr>
        <w:t>6</w:t>
      </w:r>
      <w:r w:rsidR="00072503">
        <w:rPr>
          <w:rFonts w:eastAsia="Arial" w:cs="Arial"/>
          <w:bCs/>
        </w:rPr>
        <w:t>.</w:t>
      </w:r>
      <w:r w:rsidR="000E7B5E">
        <w:rPr>
          <w:rFonts w:eastAsia="Arial" w:cs="Arial"/>
          <w:bCs/>
        </w:rPr>
        <w:t>933</w:t>
      </w:r>
      <w:r w:rsidR="00072503">
        <w:rPr>
          <w:rFonts w:eastAsia="Arial" w:cs="Arial"/>
          <w:bCs/>
        </w:rPr>
        <w:t>,</w:t>
      </w:r>
      <w:r w:rsidR="000E7B5E">
        <w:rPr>
          <w:rFonts w:eastAsia="Arial" w:cs="Arial"/>
          <w:bCs/>
        </w:rPr>
        <w:t>92</w:t>
      </w:r>
      <w:r w:rsidR="00072503">
        <w:rPr>
          <w:rFonts w:eastAsia="Arial" w:cs="Arial"/>
          <w:bCs/>
        </w:rPr>
        <w:t>€.</w:t>
      </w:r>
    </w:p>
    <w:p w14:paraId="2DE9829C" w14:textId="77777777" w:rsidR="00A90A77" w:rsidRPr="00B66561" w:rsidRDefault="00A90A77" w:rsidP="005A1BBF">
      <w:pPr>
        <w:shd w:val="clear" w:color="auto" w:fill="FFFFFF"/>
        <w:autoSpaceDE w:val="0"/>
        <w:jc w:val="both"/>
        <w:rPr>
          <w:rFonts w:eastAsia="Arial" w:cs="Arial"/>
          <w:bCs/>
          <w:color w:val="FF0000"/>
        </w:rPr>
      </w:pPr>
    </w:p>
    <w:p w14:paraId="724474F5" w14:textId="77777777" w:rsidR="00C07B7C" w:rsidRPr="004660CE" w:rsidRDefault="00C07B7C" w:rsidP="005A1BBF">
      <w:pPr>
        <w:shd w:val="clear" w:color="auto" w:fill="FFFFFF"/>
        <w:autoSpaceDE w:val="0"/>
        <w:jc w:val="both"/>
        <w:rPr>
          <w:rFonts w:eastAsia="Arial" w:cs="Arial"/>
          <w:b/>
          <w:bCs/>
        </w:rPr>
      </w:pPr>
    </w:p>
    <w:p w14:paraId="4747D67C" w14:textId="77777777" w:rsidR="00A90A77" w:rsidRPr="004660CE" w:rsidRDefault="00A90A77" w:rsidP="005A1BBF">
      <w:pPr>
        <w:shd w:val="clear" w:color="auto" w:fill="FFFFFF"/>
        <w:autoSpaceDE w:val="0"/>
        <w:jc w:val="both"/>
        <w:rPr>
          <w:rFonts w:eastAsia="Arial" w:cs="Arial"/>
          <w:b/>
          <w:bCs/>
        </w:rPr>
      </w:pPr>
      <w:r w:rsidRPr="004660CE">
        <w:rPr>
          <w:rFonts w:eastAsia="Arial" w:cs="Arial"/>
          <w:b/>
          <w:bCs/>
        </w:rPr>
        <w:t>6.3 – Propriedades de Investimentos e Investimentos Financeiros</w:t>
      </w:r>
    </w:p>
    <w:p w14:paraId="29FC3A13" w14:textId="77777777" w:rsidR="00912B32" w:rsidRPr="004660CE" w:rsidRDefault="00912B32" w:rsidP="005A1BBF">
      <w:pPr>
        <w:shd w:val="clear" w:color="auto" w:fill="FFFFFF"/>
        <w:autoSpaceDE w:val="0"/>
        <w:jc w:val="both"/>
        <w:rPr>
          <w:rFonts w:eastAsia="Arial" w:cs="Arial"/>
          <w:bCs/>
        </w:rPr>
      </w:pPr>
    </w:p>
    <w:p w14:paraId="4C4CBB60" w14:textId="21AC2394" w:rsidR="00A90A77" w:rsidRPr="006158DA" w:rsidRDefault="00A90A77" w:rsidP="005A1BBF">
      <w:pPr>
        <w:shd w:val="clear" w:color="auto" w:fill="FFFFFF"/>
        <w:autoSpaceDE w:val="0"/>
        <w:jc w:val="both"/>
        <w:rPr>
          <w:rFonts w:eastAsia="Arial" w:cs="Arial"/>
          <w:bCs/>
        </w:rPr>
      </w:pPr>
      <w:r w:rsidRPr="00707F0E">
        <w:rPr>
          <w:rFonts w:eastAsia="Arial" w:cs="Arial"/>
          <w:bCs/>
        </w:rPr>
        <w:t>Encontram-se registados sob a natureza de investimentos finance</w:t>
      </w:r>
      <w:r w:rsidR="0046279D">
        <w:rPr>
          <w:rFonts w:eastAsia="Arial" w:cs="Arial"/>
          <w:bCs/>
        </w:rPr>
        <w:t xml:space="preserve">iros os montantes relativos à </w:t>
      </w:r>
      <w:r w:rsidR="00072503">
        <w:rPr>
          <w:rFonts w:eastAsia="Arial" w:cs="Arial"/>
          <w:bCs/>
        </w:rPr>
        <w:t>a</w:t>
      </w:r>
      <w:r w:rsidR="0046279D">
        <w:rPr>
          <w:rFonts w:eastAsia="Arial" w:cs="Arial"/>
          <w:bCs/>
        </w:rPr>
        <w:t xml:space="preserve">ssociação </w:t>
      </w:r>
      <w:r w:rsidR="00072503">
        <w:rPr>
          <w:rFonts w:eastAsia="Arial" w:cs="Arial"/>
          <w:bCs/>
        </w:rPr>
        <w:t>como</w:t>
      </w:r>
      <w:r w:rsidR="0046279D">
        <w:rPr>
          <w:rFonts w:eastAsia="Arial" w:cs="Arial"/>
          <w:bCs/>
        </w:rPr>
        <w:t xml:space="preserve"> cliente da Caixa de Credito </w:t>
      </w:r>
      <w:r w:rsidR="00072503">
        <w:rPr>
          <w:rFonts w:eastAsia="Arial" w:cs="Arial"/>
          <w:bCs/>
        </w:rPr>
        <w:t>Agrícola</w:t>
      </w:r>
      <w:r w:rsidR="0046279D">
        <w:rPr>
          <w:rFonts w:eastAsia="Arial" w:cs="Arial"/>
          <w:bCs/>
        </w:rPr>
        <w:t xml:space="preserve"> Mutou de Silves, no valor de 1.000,00€, bem como da existência de terrenos no Algoz e Ferragudo no montante global de 4.404,38€, conforme inscrito nas contas 41 e 42.</w:t>
      </w:r>
    </w:p>
    <w:p w14:paraId="36BD2EDD" w14:textId="77777777" w:rsidR="00A90A77" w:rsidRPr="006158DA" w:rsidRDefault="00A90A77" w:rsidP="005A1BBF">
      <w:pPr>
        <w:shd w:val="clear" w:color="auto" w:fill="FFFFFF"/>
        <w:autoSpaceDE w:val="0"/>
        <w:jc w:val="both"/>
        <w:rPr>
          <w:rFonts w:eastAsia="Arial" w:cs="Arial"/>
          <w:bCs/>
        </w:rPr>
      </w:pPr>
    </w:p>
    <w:p w14:paraId="12BB97B9" w14:textId="77777777" w:rsidR="00FA07EA" w:rsidRPr="00787287" w:rsidRDefault="00EE74D0" w:rsidP="005A1BBF">
      <w:pPr>
        <w:shd w:val="clear" w:color="auto" w:fill="FFFFFF"/>
        <w:autoSpaceDE w:val="0"/>
        <w:jc w:val="both"/>
        <w:rPr>
          <w:rFonts w:eastAsia="Arial" w:cs="Arial"/>
          <w:b/>
          <w:bCs/>
        </w:rPr>
      </w:pPr>
      <w:r w:rsidRPr="00787287">
        <w:rPr>
          <w:rFonts w:eastAsia="Arial" w:cs="Arial"/>
          <w:b/>
          <w:bCs/>
        </w:rPr>
        <w:t>6.</w:t>
      </w:r>
      <w:r w:rsidR="00A90A77" w:rsidRPr="00787287">
        <w:rPr>
          <w:rFonts w:eastAsia="Arial" w:cs="Arial"/>
          <w:b/>
          <w:bCs/>
        </w:rPr>
        <w:t>4</w:t>
      </w:r>
      <w:r w:rsidR="00FA07EA" w:rsidRPr="00787287">
        <w:rPr>
          <w:rFonts w:eastAsia="Arial" w:cs="Arial"/>
          <w:b/>
          <w:bCs/>
        </w:rPr>
        <w:t xml:space="preserve"> - Para os itens </w:t>
      </w:r>
      <w:r w:rsidR="001226D4">
        <w:rPr>
          <w:rFonts w:eastAsia="Arial" w:cs="Arial"/>
          <w:b/>
          <w:bCs/>
        </w:rPr>
        <w:t>do a</w:t>
      </w:r>
      <w:r w:rsidR="00FA07EA" w:rsidRPr="00787287">
        <w:rPr>
          <w:rFonts w:eastAsia="Arial" w:cs="Arial"/>
          <w:b/>
          <w:bCs/>
        </w:rPr>
        <w:t>tivo fixo tangível expressos por quantias revalorizadas:</w:t>
      </w:r>
    </w:p>
    <w:p w14:paraId="41B859F7" w14:textId="77777777" w:rsidR="00FA07EA" w:rsidRPr="00787287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</w:rPr>
      </w:pPr>
    </w:p>
    <w:p w14:paraId="586036B0" w14:textId="77777777" w:rsidR="00FA07EA" w:rsidRPr="00787287" w:rsidRDefault="00545514" w:rsidP="005A1BBF">
      <w:pPr>
        <w:shd w:val="clear" w:color="auto" w:fill="FFFFFF"/>
        <w:autoSpaceDE w:val="0"/>
        <w:jc w:val="both"/>
        <w:rPr>
          <w:rFonts w:eastAsia="Arial" w:cs="Arial"/>
        </w:rPr>
      </w:pPr>
      <w:r w:rsidRPr="00787287">
        <w:rPr>
          <w:rFonts w:eastAsia="Arial" w:cs="Arial"/>
          <w:i/>
          <w:iCs/>
        </w:rPr>
        <w:t>Não aplicável.</w:t>
      </w:r>
    </w:p>
    <w:p w14:paraId="7E1EF598" w14:textId="77777777" w:rsidR="00FA07EA" w:rsidRPr="004D646B" w:rsidRDefault="00FA07EA" w:rsidP="005A1BBF">
      <w:pPr>
        <w:shd w:val="clear" w:color="auto" w:fill="FFFFFF"/>
        <w:autoSpaceDE w:val="0"/>
        <w:jc w:val="both"/>
        <w:rPr>
          <w:rFonts w:eastAsia="Arial" w:cs="Arial"/>
        </w:rPr>
      </w:pPr>
    </w:p>
    <w:p w14:paraId="04C0CB7F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</w:p>
    <w:p w14:paraId="734B839A" w14:textId="77777777" w:rsidR="00FA07EA" w:rsidRPr="00C00E14" w:rsidRDefault="00EE74D0" w:rsidP="005A1BBF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C00E14">
        <w:rPr>
          <w:rFonts w:eastAsia="Arial" w:cs="Arial"/>
          <w:b/>
          <w:bCs/>
          <w:sz w:val="28"/>
          <w:szCs w:val="28"/>
        </w:rPr>
        <w:t>7</w:t>
      </w:r>
      <w:r w:rsidR="001226D4">
        <w:rPr>
          <w:rFonts w:ascii="Arial" w:eastAsia="Arial" w:hAnsi="Arial" w:cs="Arial"/>
          <w:b/>
          <w:bCs/>
          <w:sz w:val="28"/>
          <w:szCs w:val="28"/>
        </w:rPr>
        <w:t xml:space="preserve"> – Imparidade de a</w:t>
      </w:r>
      <w:r w:rsidR="00FA07EA" w:rsidRPr="00C00E14">
        <w:rPr>
          <w:rFonts w:ascii="Arial" w:eastAsia="Arial" w:hAnsi="Arial" w:cs="Arial"/>
          <w:b/>
          <w:bCs/>
          <w:sz w:val="28"/>
          <w:szCs w:val="28"/>
        </w:rPr>
        <w:t>tivos</w:t>
      </w:r>
    </w:p>
    <w:p w14:paraId="33049B30" w14:textId="77777777" w:rsidR="00FA07EA" w:rsidRPr="00C00E14" w:rsidRDefault="00FA07EA" w:rsidP="005A1BBF">
      <w:pPr>
        <w:shd w:val="clear" w:color="auto" w:fill="FFFFFF"/>
        <w:autoSpaceDE w:val="0"/>
        <w:jc w:val="both"/>
        <w:rPr>
          <w:rFonts w:eastAsia="Arial" w:cs="Arial"/>
        </w:rPr>
      </w:pPr>
    </w:p>
    <w:p w14:paraId="52C25E2C" w14:textId="77777777" w:rsidR="00545514" w:rsidRPr="00C00E14" w:rsidRDefault="0046279D" w:rsidP="00545514">
      <w:pPr>
        <w:numPr>
          <w:ilvl w:val="0"/>
          <w:numId w:val="35"/>
        </w:numPr>
        <w:shd w:val="clear" w:color="auto" w:fill="FFFFFF"/>
        <w:autoSpaceDE w:val="0"/>
        <w:jc w:val="both"/>
        <w:rPr>
          <w:rFonts w:eastAsia="Times New Roman" w:cs="Times New Roman"/>
          <w:b/>
          <w:bCs/>
          <w:smallCaps/>
        </w:rPr>
      </w:pPr>
      <w:r>
        <w:rPr>
          <w:rFonts w:eastAsia="Arial" w:cs="Arial"/>
        </w:rPr>
        <w:t>Não Aplicavel.</w:t>
      </w:r>
    </w:p>
    <w:p w14:paraId="05A3A0BE" w14:textId="77777777" w:rsidR="00F160CA" w:rsidRPr="00093EF8" w:rsidRDefault="00F160CA" w:rsidP="005A1BBF">
      <w:pPr>
        <w:jc w:val="both"/>
        <w:rPr>
          <w:rFonts w:eastAsia="Arial" w:cs="Arial"/>
          <w:b/>
          <w:bCs/>
          <w:color w:val="FF0000"/>
          <w:sz w:val="28"/>
          <w:szCs w:val="28"/>
        </w:rPr>
      </w:pPr>
    </w:p>
    <w:p w14:paraId="715A5BEF" w14:textId="77777777" w:rsidR="00FA07EA" w:rsidRPr="00C00E14" w:rsidRDefault="00EE74D0" w:rsidP="005A1BBF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C00E14">
        <w:rPr>
          <w:rFonts w:eastAsia="Arial" w:cs="Arial"/>
          <w:b/>
          <w:bCs/>
          <w:sz w:val="28"/>
          <w:szCs w:val="28"/>
        </w:rPr>
        <w:t>8</w:t>
      </w:r>
      <w:r w:rsidR="00FA07EA" w:rsidRPr="00C00E14">
        <w:rPr>
          <w:rFonts w:ascii="Arial" w:eastAsia="Arial" w:hAnsi="Arial" w:cs="Arial"/>
          <w:b/>
          <w:bCs/>
          <w:sz w:val="28"/>
          <w:szCs w:val="28"/>
        </w:rPr>
        <w:t xml:space="preserve"> – Inventários</w:t>
      </w:r>
    </w:p>
    <w:p w14:paraId="3285C188" w14:textId="77777777" w:rsidR="00FA07EA" w:rsidRPr="00C00E14" w:rsidRDefault="00FA07EA" w:rsidP="005A1BBF">
      <w:pPr>
        <w:jc w:val="both"/>
      </w:pPr>
    </w:p>
    <w:p w14:paraId="505E52DA" w14:textId="77777777" w:rsidR="00C07B7C" w:rsidRPr="00C00E14" w:rsidRDefault="00C07B7C" w:rsidP="005A1BBF">
      <w:pPr>
        <w:shd w:val="clear" w:color="auto" w:fill="FFFFFF"/>
        <w:autoSpaceDE w:val="0"/>
        <w:jc w:val="both"/>
        <w:rPr>
          <w:rFonts w:eastAsia="Arial" w:cs="Arial"/>
          <w:b/>
          <w:bCs/>
        </w:rPr>
      </w:pPr>
    </w:p>
    <w:p w14:paraId="4D9D43DF" w14:textId="77777777" w:rsidR="00FA07EA" w:rsidRPr="00C00E14" w:rsidRDefault="00EE74D0" w:rsidP="005A1BBF">
      <w:pPr>
        <w:shd w:val="clear" w:color="auto" w:fill="FFFFFF"/>
        <w:autoSpaceDE w:val="0"/>
        <w:jc w:val="both"/>
        <w:rPr>
          <w:rFonts w:eastAsia="Arial" w:cs="Arial"/>
          <w:b/>
          <w:bCs/>
        </w:rPr>
      </w:pPr>
      <w:r w:rsidRPr="00C00E14">
        <w:rPr>
          <w:rFonts w:eastAsia="Arial" w:cs="Arial"/>
          <w:b/>
          <w:bCs/>
        </w:rPr>
        <w:t>8</w:t>
      </w:r>
      <w:r w:rsidR="00FA07EA" w:rsidRPr="00C00E14">
        <w:rPr>
          <w:rFonts w:eastAsia="Arial" w:cs="Arial"/>
          <w:b/>
          <w:bCs/>
        </w:rPr>
        <w:t xml:space="preserve">.1 </w:t>
      </w:r>
      <w:r w:rsidR="001226D4">
        <w:rPr>
          <w:rFonts w:eastAsia="Arial" w:cs="Arial"/>
          <w:b/>
          <w:bCs/>
        </w:rPr>
        <w:t>- Políticas contabilísticas ado</w:t>
      </w:r>
      <w:r w:rsidR="00FA07EA" w:rsidRPr="00C00E14">
        <w:rPr>
          <w:rFonts w:eastAsia="Arial" w:cs="Arial"/>
          <w:b/>
          <w:bCs/>
        </w:rPr>
        <w:t>tadas na mensuração dos inventários e fórmula de custeio usada.</w:t>
      </w:r>
    </w:p>
    <w:p w14:paraId="25419136" w14:textId="478A606E" w:rsidR="00FA07EA" w:rsidRPr="00C00E14" w:rsidRDefault="0046279D" w:rsidP="00EE74D0">
      <w:pPr>
        <w:shd w:val="clear" w:color="auto" w:fill="FFFFFF"/>
        <w:autoSpaceDE w:val="0"/>
        <w:ind w:firstLine="709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 xml:space="preserve">Não </w:t>
      </w:r>
      <w:r w:rsidR="0071677A">
        <w:rPr>
          <w:rFonts w:eastAsia="Arial" w:cs="Arial"/>
          <w:bCs/>
        </w:rPr>
        <w:t>Aplicável</w:t>
      </w:r>
      <w:r>
        <w:rPr>
          <w:rFonts w:eastAsia="Arial" w:cs="Arial"/>
          <w:bCs/>
        </w:rPr>
        <w:t>.</w:t>
      </w:r>
    </w:p>
    <w:p w14:paraId="5F6C9E3B" w14:textId="77777777" w:rsidR="00C07B7C" w:rsidRPr="00C00E14" w:rsidRDefault="00C07B7C" w:rsidP="005A1BBF">
      <w:pPr>
        <w:shd w:val="clear" w:color="auto" w:fill="FFFFFF"/>
        <w:autoSpaceDE w:val="0"/>
        <w:jc w:val="both"/>
        <w:rPr>
          <w:rFonts w:eastAsia="Arial" w:cs="Arial"/>
          <w:b/>
          <w:bCs/>
        </w:rPr>
      </w:pPr>
    </w:p>
    <w:p w14:paraId="64FF2090" w14:textId="77777777" w:rsidR="00FA07EA" w:rsidRPr="00C00E14" w:rsidRDefault="00EE74D0" w:rsidP="005A1BBF">
      <w:pPr>
        <w:shd w:val="clear" w:color="auto" w:fill="FFFFFF"/>
        <w:autoSpaceDE w:val="0"/>
        <w:jc w:val="both"/>
        <w:rPr>
          <w:rFonts w:eastAsia="Arial" w:cs="Arial"/>
          <w:b/>
          <w:bCs/>
        </w:rPr>
      </w:pPr>
      <w:r w:rsidRPr="00C00E14">
        <w:rPr>
          <w:rFonts w:eastAsia="Arial" w:cs="Arial"/>
          <w:b/>
          <w:bCs/>
        </w:rPr>
        <w:t>8</w:t>
      </w:r>
      <w:r w:rsidR="00FA07EA" w:rsidRPr="00C00E14">
        <w:rPr>
          <w:rFonts w:eastAsia="Arial" w:cs="Arial"/>
          <w:b/>
          <w:bCs/>
        </w:rPr>
        <w:t>.2  -   Quantia  total  escriturada  de  inventários  e  quantia  escriturada  em   classificações apropriadas.</w:t>
      </w:r>
    </w:p>
    <w:p w14:paraId="2A911A11" w14:textId="77777777" w:rsidR="00FA07EA" w:rsidRPr="00C00E14" w:rsidRDefault="00FA07EA" w:rsidP="005A1BBF">
      <w:pPr>
        <w:shd w:val="clear" w:color="auto" w:fill="FFFFFF"/>
        <w:autoSpaceDE w:val="0"/>
        <w:jc w:val="both"/>
        <w:rPr>
          <w:rFonts w:eastAsia="Arial" w:cs="Arial"/>
        </w:rPr>
      </w:pPr>
    </w:p>
    <w:p w14:paraId="1BA1CB48" w14:textId="2582D18E" w:rsidR="0046279D" w:rsidRDefault="00FA07EA" w:rsidP="0046279D">
      <w:pPr>
        <w:shd w:val="clear" w:color="auto" w:fill="FFFFFF"/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6158DA">
        <w:rPr>
          <w:rFonts w:eastAsia="Arial" w:cs="Arial"/>
        </w:rPr>
        <w:t xml:space="preserve">Em 31 de Dezembro de </w:t>
      </w:r>
      <w:r w:rsidR="00F706EC" w:rsidRPr="006158DA">
        <w:rPr>
          <w:rFonts w:eastAsia="Arial" w:cs="Arial"/>
        </w:rPr>
        <w:t>20</w:t>
      </w:r>
      <w:r w:rsidR="007B2857">
        <w:rPr>
          <w:rFonts w:eastAsia="Arial" w:cs="Arial"/>
        </w:rPr>
        <w:t>2</w:t>
      </w:r>
      <w:r w:rsidR="000E7B5E">
        <w:rPr>
          <w:rFonts w:eastAsia="Arial" w:cs="Arial"/>
        </w:rPr>
        <w:t>3</w:t>
      </w:r>
      <w:r w:rsidR="001226D4">
        <w:rPr>
          <w:rFonts w:eastAsia="Arial" w:cs="Arial"/>
        </w:rPr>
        <w:t xml:space="preserve"> </w:t>
      </w:r>
      <w:r w:rsidR="00F706EC" w:rsidRPr="006158DA">
        <w:rPr>
          <w:rFonts w:eastAsia="Arial" w:cs="Arial"/>
        </w:rPr>
        <w:t>e de 20</w:t>
      </w:r>
      <w:r w:rsidR="001226D4">
        <w:rPr>
          <w:rFonts w:eastAsia="Arial" w:cs="Arial"/>
        </w:rPr>
        <w:t>2</w:t>
      </w:r>
      <w:r w:rsidR="000E7B5E">
        <w:rPr>
          <w:rFonts w:eastAsia="Arial" w:cs="Arial"/>
        </w:rPr>
        <w:t>2</w:t>
      </w:r>
      <w:r w:rsidR="00F706EC" w:rsidRPr="006158DA">
        <w:rPr>
          <w:rFonts w:eastAsia="Arial" w:cs="Arial"/>
        </w:rPr>
        <w:t>,</w:t>
      </w:r>
      <w:r w:rsidR="0046279D">
        <w:rPr>
          <w:rFonts w:eastAsia="Arial" w:cs="Arial"/>
        </w:rPr>
        <w:t xml:space="preserve"> a Instituição não tinha inventários, pela inexistência de valências em ativo.</w:t>
      </w:r>
      <w:r w:rsidR="0046279D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</w:p>
    <w:p w14:paraId="2900391D" w14:textId="77777777" w:rsidR="00FA07EA" w:rsidRDefault="00FA07EA" w:rsidP="005A1BBF">
      <w:pPr>
        <w:shd w:val="clear" w:color="auto" w:fill="FFFFFF"/>
        <w:autoSpaceDE w:val="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</w:p>
    <w:p w14:paraId="089BCA9B" w14:textId="77777777" w:rsidR="00110B57" w:rsidRDefault="00110B57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</w:p>
    <w:p w14:paraId="5BB85135" w14:textId="77777777" w:rsidR="00FA07EA" w:rsidRDefault="00EE74D0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i/>
          <w:iCs/>
          <w:color w:val="000000"/>
        </w:rPr>
      </w:pPr>
      <w:r>
        <w:rPr>
          <w:rFonts w:eastAsia="Arial" w:cs="Arial"/>
          <w:b/>
          <w:bCs/>
          <w:i/>
          <w:iCs/>
          <w:color w:val="000000"/>
        </w:rPr>
        <w:t>8</w:t>
      </w:r>
      <w:r w:rsidR="00D9037A">
        <w:rPr>
          <w:rFonts w:eastAsia="Arial" w:cs="Arial"/>
          <w:b/>
          <w:bCs/>
          <w:i/>
          <w:iCs/>
          <w:color w:val="000000"/>
        </w:rPr>
        <w:t>.3</w:t>
      </w:r>
      <w:r w:rsidR="00FA07EA">
        <w:rPr>
          <w:rFonts w:eastAsia="Arial" w:cs="Arial"/>
          <w:b/>
          <w:bCs/>
          <w:i/>
          <w:iCs/>
          <w:color w:val="000000"/>
        </w:rPr>
        <w:t xml:space="preserve"> - Quantia de inven</w:t>
      </w:r>
      <w:r w:rsidR="008A6E1E">
        <w:rPr>
          <w:rFonts w:eastAsia="Arial" w:cs="Arial"/>
          <w:b/>
          <w:bCs/>
          <w:i/>
          <w:iCs/>
          <w:color w:val="000000"/>
        </w:rPr>
        <w:t>tários reconhecida como um gasto</w:t>
      </w:r>
      <w:r w:rsidR="00FA07EA">
        <w:rPr>
          <w:rFonts w:eastAsia="Arial" w:cs="Arial"/>
          <w:b/>
          <w:bCs/>
          <w:i/>
          <w:iCs/>
          <w:color w:val="000000"/>
        </w:rPr>
        <w:t xml:space="preserve"> durante o período.</w:t>
      </w:r>
    </w:p>
    <w:p w14:paraId="4910413C" w14:textId="77777777" w:rsidR="00EE74D0" w:rsidRPr="0046279D" w:rsidRDefault="0046279D" w:rsidP="0046279D">
      <w:pPr>
        <w:shd w:val="clear" w:color="auto" w:fill="FFFFFF"/>
        <w:autoSpaceDE w:val="0"/>
        <w:ind w:firstLine="709"/>
        <w:jc w:val="both"/>
        <w:rPr>
          <w:rFonts w:eastAsia="Arial" w:cs="Arial"/>
          <w:bCs/>
          <w:iCs/>
          <w:color w:val="000000"/>
        </w:rPr>
      </w:pPr>
      <w:r w:rsidRPr="0046279D">
        <w:rPr>
          <w:rFonts w:eastAsia="Arial" w:cs="Arial"/>
          <w:bCs/>
          <w:iCs/>
          <w:color w:val="000000"/>
        </w:rPr>
        <w:t>Não aplicável.</w:t>
      </w:r>
    </w:p>
    <w:p w14:paraId="0FA3729E" w14:textId="77777777" w:rsidR="00C07B7C" w:rsidRDefault="00C07B7C" w:rsidP="00A06D6A">
      <w:pPr>
        <w:shd w:val="clear" w:color="auto" w:fill="FFFFFF"/>
        <w:autoSpaceDE w:val="0"/>
        <w:jc w:val="both"/>
        <w:rPr>
          <w:rFonts w:ascii="Arial" w:eastAsia="Arial" w:hAnsi="Arial" w:cs="Arial"/>
          <w:b/>
          <w:bCs/>
          <w:sz w:val="28"/>
          <w:szCs w:val="28"/>
        </w:rPr>
      </w:pPr>
      <w:bookmarkStart w:id="15" w:name="_MON_1365884202"/>
      <w:bookmarkStart w:id="16" w:name="_MON_1365886347"/>
      <w:bookmarkStart w:id="17" w:name="_MON_1361696416"/>
      <w:bookmarkStart w:id="18" w:name="_MON_1363699017"/>
      <w:bookmarkStart w:id="19" w:name="_MON_1363699074"/>
      <w:bookmarkStart w:id="20" w:name="_MON_1363699247"/>
      <w:bookmarkEnd w:id="15"/>
      <w:bookmarkEnd w:id="16"/>
      <w:bookmarkEnd w:id="17"/>
      <w:bookmarkEnd w:id="18"/>
      <w:bookmarkEnd w:id="19"/>
      <w:bookmarkEnd w:id="20"/>
    </w:p>
    <w:p w14:paraId="0C70C662" w14:textId="77777777" w:rsidR="00FA07EA" w:rsidRDefault="00110B57" w:rsidP="00A06D6A">
      <w:pPr>
        <w:shd w:val="clear" w:color="auto" w:fill="FFFFFF"/>
        <w:autoSpaceDE w:val="0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9.- </w:t>
      </w:r>
      <w:r w:rsidR="00FA07EA">
        <w:rPr>
          <w:rFonts w:ascii="Arial" w:eastAsia="Arial" w:hAnsi="Arial" w:cs="Arial"/>
          <w:b/>
          <w:bCs/>
          <w:sz w:val="28"/>
          <w:szCs w:val="28"/>
        </w:rPr>
        <w:t>Rédito</w:t>
      </w:r>
    </w:p>
    <w:p w14:paraId="5D774CCE" w14:textId="77777777" w:rsidR="00FA07EA" w:rsidRDefault="00FA07EA" w:rsidP="005A1BBF">
      <w:pPr>
        <w:jc w:val="both"/>
        <w:rPr>
          <w:rFonts w:eastAsia="Arial" w:cs="Arial"/>
          <w:b/>
          <w:bCs/>
        </w:rPr>
      </w:pPr>
    </w:p>
    <w:p w14:paraId="44CA654F" w14:textId="77777777" w:rsidR="00FA07EA" w:rsidRDefault="00EE74D0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9</w:t>
      </w:r>
      <w:r w:rsidR="004A653B">
        <w:rPr>
          <w:rFonts w:eastAsia="Arial" w:cs="Arial"/>
          <w:b/>
          <w:bCs/>
          <w:color w:val="000000"/>
        </w:rPr>
        <w:t>.1</w:t>
      </w:r>
      <w:r w:rsidR="00FA07EA">
        <w:rPr>
          <w:rFonts w:eastAsia="Arial" w:cs="Arial"/>
          <w:b/>
          <w:bCs/>
          <w:color w:val="000000"/>
        </w:rPr>
        <w:t xml:space="preserve"> - Quantia de cada categoria significativa de rédito reconhecida durante o período incluindo o rédito proveniente de:</w:t>
      </w:r>
    </w:p>
    <w:p w14:paraId="239D65D0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6857956E" w14:textId="4313279E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O rédito reconhecido no exercício findo a 31 de Dezembro de </w:t>
      </w:r>
      <w:r w:rsidR="00C26E60">
        <w:rPr>
          <w:rFonts w:eastAsia="Arial" w:cs="Arial"/>
          <w:color w:val="000000"/>
        </w:rPr>
        <w:t>20</w:t>
      </w:r>
      <w:r w:rsidR="007B2857">
        <w:rPr>
          <w:rFonts w:eastAsia="Arial" w:cs="Arial"/>
          <w:color w:val="000000"/>
        </w:rPr>
        <w:t>2</w:t>
      </w:r>
      <w:r w:rsidR="000E7B5E">
        <w:rPr>
          <w:rFonts w:eastAsia="Arial" w:cs="Arial"/>
          <w:color w:val="000000"/>
        </w:rPr>
        <w:t>3</w:t>
      </w:r>
      <w:r w:rsidR="00C26E60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e de </w:t>
      </w:r>
      <w:r w:rsidR="00C26E60">
        <w:rPr>
          <w:rFonts w:eastAsia="Arial" w:cs="Arial"/>
          <w:color w:val="000000"/>
        </w:rPr>
        <w:t>20</w:t>
      </w:r>
      <w:r w:rsidR="007B2857">
        <w:rPr>
          <w:rFonts w:eastAsia="Arial" w:cs="Arial"/>
          <w:color w:val="000000"/>
        </w:rPr>
        <w:t>2</w:t>
      </w:r>
      <w:r w:rsidR="000E7B5E">
        <w:rPr>
          <w:rFonts w:eastAsia="Arial" w:cs="Arial"/>
          <w:color w:val="000000"/>
        </w:rPr>
        <w:t>2</w:t>
      </w:r>
      <w:r>
        <w:rPr>
          <w:rFonts w:eastAsia="Arial" w:cs="Arial"/>
          <w:color w:val="000000"/>
        </w:rPr>
        <w:t>, apresenta a seguinte decomposição:</w:t>
      </w:r>
    </w:p>
    <w:p w14:paraId="030C97FF" w14:textId="77777777" w:rsidR="00110B57" w:rsidRDefault="00110B57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bookmarkStart w:id="21" w:name="_MON_1363699936"/>
    <w:bookmarkStart w:id="22" w:name="_MON_1363699972"/>
    <w:bookmarkStart w:id="23" w:name="_MON_1363699980"/>
    <w:bookmarkStart w:id="24" w:name="_MON_1365883607"/>
    <w:bookmarkEnd w:id="21"/>
    <w:bookmarkEnd w:id="22"/>
    <w:bookmarkEnd w:id="23"/>
    <w:bookmarkEnd w:id="24"/>
    <w:bookmarkStart w:id="25" w:name="_MON_1363699901"/>
    <w:bookmarkEnd w:id="25"/>
    <w:p w14:paraId="152FCEDB" w14:textId="621DA781" w:rsidR="00FA07EA" w:rsidRDefault="000E7B5E" w:rsidP="00A06D6A">
      <w:pPr>
        <w:shd w:val="clear" w:color="auto" w:fill="FFFFFF"/>
        <w:autoSpaceDE w:val="0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object w:dxaOrig="9095" w:dyaOrig="2442" w14:anchorId="438F1153">
          <v:shape id="_x0000_i1028" type="#_x0000_t75" style="width:508.5pt;height:126.75pt" o:ole="" filled="t">
            <v:fill color2="black"/>
            <v:imagedata r:id="rId16" o:title=""/>
          </v:shape>
          <o:OLEObject Type="Embed" ProgID="Excel.Sheet.8" ShapeID="_x0000_i1028" DrawAspect="Content" ObjectID="_1771668123" r:id="rId17"/>
        </w:object>
      </w:r>
      <w:r w:rsidR="00EE74D0">
        <w:rPr>
          <w:rFonts w:eastAsia="Arial" w:cs="Arial"/>
          <w:b/>
          <w:bCs/>
          <w:sz w:val="28"/>
          <w:szCs w:val="28"/>
        </w:rPr>
        <w:t>10</w:t>
      </w:r>
      <w:r w:rsidR="00FA07EA">
        <w:rPr>
          <w:rFonts w:ascii="Arial" w:eastAsia="Arial" w:hAnsi="Arial" w:cs="Arial"/>
          <w:b/>
          <w:bCs/>
          <w:sz w:val="28"/>
          <w:szCs w:val="28"/>
        </w:rPr>
        <w:t>– Acontecimentos após a data do balanço</w:t>
      </w:r>
    </w:p>
    <w:p w14:paraId="661F6A65" w14:textId="77777777" w:rsidR="00C26E60" w:rsidRDefault="00C26E60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</w:p>
    <w:p w14:paraId="5E41966E" w14:textId="6483F3AE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As demonstrações financeiras para o exercício findo em 31 de Dezembro de </w:t>
      </w:r>
      <w:r w:rsidR="00D9037A">
        <w:rPr>
          <w:rFonts w:eastAsia="Arial" w:cs="Arial"/>
          <w:color w:val="000000"/>
        </w:rPr>
        <w:t>20</w:t>
      </w:r>
      <w:r w:rsidR="001226D4">
        <w:rPr>
          <w:rFonts w:eastAsia="Arial" w:cs="Arial"/>
          <w:color w:val="000000"/>
        </w:rPr>
        <w:t>2</w:t>
      </w:r>
      <w:r w:rsidR="00BF6E86">
        <w:rPr>
          <w:rFonts w:eastAsia="Arial" w:cs="Arial"/>
          <w:color w:val="000000"/>
        </w:rPr>
        <w:t>3</w:t>
      </w:r>
      <w:r>
        <w:rPr>
          <w:rFonts w:eastAsia="Arial" w:cs="Arial"/>
          <w:color w:val="000000"/>
        </w:rPr>
        <w:t xml:space="preserve"> foram aprovadas pel</w:t>
      </w:r>
      <w:r w:rsidR="00C26E60">
        <w:rPr>
          <w:rFonts w:eastAsia="Arial" w:cs="Arial"/>
          <w:color w:val="000000"/>
        </w:rPr>
        <w:t xml:space="preserve">a </w:t>
      </w:r>
      <w:r>
        <w:rPr>
          <w:rFonts w:eastAsia="Arial" w:cs="Arial"/>
          <w:color w:val="000000"/>
        </w:rPr>
        <w:t>Gerência e autorizadas para emissão em</w:t>
      </w:r>
      <w:r w:rsidR="00C26E60">
        <w:rPr>
          <w:rFonts w:eastAsia="Arial" w:cs="Arial"/>
          <w:color w:val="000000"/>
        </w:rPr>
        <w:t xml:space="preserve"> </w:t>
      </w:r>
      <w:r w:rsidR="00BF6E86">
        <w:rPr>
          <w:rFonts w:eastAsia="Arial" w:cs="Arial"/>
          <w:color w:val="000000"/>
        </w:rPr>
        <w:t>04</w:t>
      </w:r>
      <w:r w:rsidR="00BB4446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>de</w:t>
      </w:r>
      <w:r w:rsidR="00C26E60">
        <w:rPr>
          <w:rFonts w:eastAsia="Arial" w:cs="Arial"/>
          <w:color w:val="000000"/>
        </w:rPr>
        <w:t xml:space="preserve"> </w:t>
      </w:r>
      <w:r w:rsidR="007B2857">
        <w:rPr>
          <w:rFonts w:eastAsia="Arial" w:cs="Arial"/>
          <w:color w:val="000000"/>
        </w:rPr>
        <w:t xml:space="preserve">Março </w:t>
      </w:r>
      <w:r w:rsidR="00C26E60">
        <w:rPr>
          <w:rFonts w:eastAsia="Arial" w:cs="Arial"/>
          <w:color w:val="000000"/>
        </w:rPr>
        <w:t xml:space="preserve">de </w:t>
      </w:r>
      <w:r w:rsidR="00BB4446">
        <w:rPr>
          <w:rFonts w:eastAsia="Arial" w:cs="Arial"/>
          <w:color w:val="000000"/>
        </w:rPr>
        <w:t>202</w:t>
      </w:r>
      <w:r w:rsidR="00BF6E86">
        <w:rPr>
          <w:rFonts w:eastAsia="Arial" w:cs="Arial"/>
          <w:color w:val="000000"/>
        </w:rPr>
        <w:t>4</w:t>
      </w:r>
      <w:r w:rsidR="00BB4446">
        <w:rPr>
          <w:rFonts w:eastAsia="Arial" w:cs="Arial"/>
          <w:color w:val="000000"/>
        </w:rPr>
        <w:t>.</w:t>
      </w:r>
    </w:p>
    <w:p w14:paraId="1534EFD3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2AE140C7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Após a data do Balanço não houve conhecimento de eventos ocorridos que afetem o valor dos ativos e passivos das demonstrações financeiras do período.</w:t>
      </w:r>
    </w:p>
    <w:p w14:paraId="1E7EE4F1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</w:p>
    <w:p w14:paraId="0521B271" w14:textId="77777777" w:rsidR="00FA07EA" w:rsidRDefault="00FA07EA" w:rsidP="005A1BBF">
      <w:pPr>
        <w:jc w:val="both"/>
      </w:pPr>
    </w:p>
    <w:p w14:paraId="78C75810" w14:textId="77777777" w:rsidR="00FA07EA" w:rsidRDefault="00C07646" w:rsidP="005A1BBF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1</w:t>
      </w:r>
      <w:r w:rsidR="00EE74D0">
        <w:rPr>
          <w:rFonts w:eastAsia="Arial" w:cs="Arial"/>
          <w:b/>
          <w:bCs/>
          <w:sz w:val="28"/>
          <w:szCs w:val="28"/>
        </w:rPr>
        <w:t>1</w:t>
      </w:r>
      <w:r w:rsidR="00FA07EA">
        <w:rPr>
          <w:rFonts w:ascii="Arial" w:eastAsia="Arial" w:hAnsi="Arial" w:cs="Arial"/>
          <w:b/>
          <w:bCs/>
          <w:sz w:val="28"/>
          <w:szCs w:val="28"/>
        </w:rPr>
        <w:t xml:space="preserve"> – Impostos sobre o rendimento</w:t>
      </w:r>
    </w:p>
    <w:p w14:paraId="128A54CD" w14:textId="77777777" w:rsidR="00FA07EA" w:rsidRDefault="00FA07EA" w:rsidP="005A1BBF">
      <w:pPr>
        <w:jc w:val="both"/>
      </w:pPr>
    </w:p>
    <w:p w14:paraId="5FE40108" w14:textId="77777777" w:rsidR="00A06D6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A Entidade </w:t>
      </w:r>
      <w:r w:rsidR="00A06D6A">
        <w:rPr>
          <w:rFonts w:eastAsia="Arial" w:cs="Arial"/>
          <w:color w:val="000000"/>
        </w:rPr>
        <w:t xml:space="preserve">não se </w:t>
      </w:r>
      <w:r>
        <w:rPr>
          <w:rFonts w:eastAsia="Arial" w:cs="Arial"/>
          <w:color w:val="000000"/>
        </w:rPr>
        <w:t>encontra sujeita a Imposto sobr</w:t>
      </w:r>
      <w:r w:rsidR="001226D4">
        <w:rPr>
          <w:rFonts w:eastAsia="Arial" w:cs="Arial"/>
          <w:color w:val="000000"/>
        </w:rPr>
        <w:t>e o Rendimento das Pessoas Cole</w:t>
      </w:r>
      <w:r>
        <w:rPr>
          <w:rFonts w:eastAsia="Arial" w:cs="Arial"/>
          <w:color w:val="000000"/>
        </w:rPr>
        <w:t>tivas (IRC)</w:t>
      </w:r>
      <w:r w:rsidR="00A06D6A">
        <w:rPr>
          <w:rFonts w:eastAsia="Arial" w:cs="Arial"/>
          <w:color w:val="000000"/>
        </w:rPr>
        <w:t>.</w:t>
      </w:r>
    </w:p>
    <w:p w14:paraId="49087176" w14:textId="77777777" w:rsidR="00A06D6A" w:rsidRDefault="00A06D6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63F5A8BC" w14:textId="77777777" w:rsidR="00FA07EA" w:rsidRDefault="00A06D6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Contudo e d</w:t>
      </w:r>
      <w:r w:rsidR="00FA07EA">
        <w:rPr>
          <w:rFonts w:eastAsia="Arial" w:cs="Arial"/>
          <w:color w:val="000000"/>
        </w:rPr>
        <w:t>e acordo com a legislação em vigor, as declarações fiscais e</w:t>
      </w:r>
      <w:r w:rsidR="001226D4">
        <w:rPr>
          <w:rFonts w:eastAsia="Arial" w:cs="Arial"/>
          <w:color w:val="000000"/>
        </w:rPr>
        <w:t>stão sujeitas a revisão e corre</w:t>
      </w:r>
      <w:r w:rsidR="00FA07EA">
        <w:rPr>
          <w:rFonts w:eastAsia="Arial" w:cs="Arial"/>
          <w:color w:val="000000"/>
        </w:rPr>
        <w:t>ção por parte das autoridades fiscais durante um período de quatro anos (cinco anos</w:t>
      </w:r>
      <w:r w:rsidR="001226D4">
        <w:rPr>
          <w:rFonts w:eastAsia="Arial" w:cs="Arial"/>
          <w:color w:val="000000"/>
        </w:rPr>
        <w:t xml:space="preserve"> para a Segurança Social), exce</w:t>
      </w:r>
      <w:r w:rsidR="00FA07EA">
        <w:rPr>
          <w:rFonts w:eastAsia="Arial" w:cs="Arial"/>
          <w:color w:val="000000"/>
        </w:rPr>
        <w:t>to quando tenham havido prejuízos fiscais, tenham sido concedidos benefícios fisca</w:t>
      </w:r>
      <w:r w:rsidR="001226D4">
        <w:rPr>
          <w:rFonts w:eastAsia="Arial" w:cs="Arial"/>
          <w:color w:val="000000"/>
        </w:rPr>
        <w:t>is, ou estejam em curso inspe</w:t>
      </w:r>
      <w:r w:rsidR="00FA07EA">
        <w:rPr>
          <w:rFonts w:eastAsia="Arial" w:cs="Arial"/>
          <w:color w:val="000000"/>
        </w:rPr>
        <w:t>ções, reclamações ou impugnações, casos estes em que, dependendo das circunstâncias, os pra</w:t>
      </w:r>
      <w:r w:rsidR="009E5D66">
        <w:rPr>
          <w:rFonts w:eastAsia="Arial" w:cs="Arial"/>
          <w:color w:val="000000"/>
        </w:rPr>
        <w:t>zos são alongados ou suspensos.</w:t>
      </w:r>
    </w:p>
    <w:p w14:paraId="62573193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4615C937" w14:textId="0D8AAC21" w:rsidR="00FA07EA" w:rsidRDefault="00C26E60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A </w:t>
      </w:r>
      <w:r w:rsidR="00A06D6A">
        <w:rPr>
          <w:rFonts w:eastAsia="Arial" w:cs="Arial"/>
          <w:color w:val="000000"/>
        </w:rPr>
        <w:t xml:space="preserve">Mesa Administrativa da Instituição </w:t>
      </w:r>
      <w:r w:rsidR="001226D4">
        <w:rPr>
          <w:rFonts w:eastAsia="Arial" w:cs="Arial"/>
          <w:color w:val="000000"/>
        </w:rPr>
        <w:t>entende que as eventuais corre</w:t>
      </w:r>
      <w:r w:rsidR="00FA07EA">
        <w:rPr>
          <w:rFonts w:eastAsia="Arial" w:cs="Arial"/>
          <w:color w:val="000000"/>
        </w:rPr>
        <w:t xml:space="preserve">ções resultantes de revisões/inspeções por parte das autoridades fiscais àquelas declarações de impostos não terão um efeito significativo nas demonstrações financeiras em 31 de Dezembro </w:t>
      </w:r>
      <w:r w:rsidR="00A06D6A">
        <w:rPr>
          <w:rFonts w:eastAsia="Arial" w:cs="Arial"/>
          <w:color w:val="000000"/>
        </w:rPr>
        <w:t>20</w:t>
      </w:r>
      <w:r w:rsidR="001226D4">
        <w:rPr>
          <w:rFonts w:eastAsia="Arial" w:cs="Arial"/>
          <w:color w:val="000000"/>
        </w:rPr>
        <w:t>2</w:t>
      </w:r>
      <w:r w:rsidR="00BF6E86">
        <w:rPr>
          <w:rFonts w:eastAsia="Arial" w:cs="Arial"/>
          <w:color w:val="000000"/>
        </w:rPr>
        <w:t>3</w:t>
      </w:r>
      <w:r w:rsidR="00A06D6A">
        <w:rPr>
          <w:rFonts w:eastAsia="Arial" w:cs="Arial"/>
          <w:color w:val="000000"/>
        </w:rPr>
        <w:t>.</w:t>
      </w:r>
    </w:p>
    <w:p w14:paraId="4CD523A3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27C50A32" w14:textId="77777777" w:rsidR="000F66BC" w:rsidRDefault="000F66BC" w:rsidP="005A1BBF">
      <w:pPr>
        <w:jc w:val="both"/>
        <w:rPr>
          <w:rFonts w:eastAsia="Arial" w:cs="Arial"/>
          <w:b/>
          <w:bCs/>
          <w:sz w:val="28"/>
          <w:szCs w:val="28"/>
        </w:rPr>
      </w:pPr>
    </w:p>
    <w:p w14:paraId="4D24DBCE" w14:textId="77777777" w:rsidR="00FA07EA" w:rsidRDefault="00C07646" w:rsidP="005A1BBF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1</w:t>
      </w:r>
      <w:r w:rsidR="00EE74D0">
        <w:rPr>
          <w:rFonts w:eastAsia="Arial" w:cs="Arial"/>
          <w:b/>
          <w:bCs/>
          <w:sz w:val="28"/>
          <w:szCs w:val="28"/>
        </w:rPr>
        <w:t>2</w:t>
      </w:r>
      <w:r w:rsidR="00FA07EA">
        <w:rPr>
          <w:rFonts w:ascii="Arial" w:eastAsia="Arial" w:hAnsi="Arial" w:cs="Arial"/>
          <w:b/>
          <w:bCs/>
          <w:sz w:val="28"/>
          <w:szCs w:val="28"/>
        </w:rPr>
        <w:t>– Instrumentos financeiros</w:t>
      </w:r>
    </w:p>
    <w:p w14:paraId="1A115E28" w14:textId="77777777" w:rsidR="00FA07EA" w:rsidRDefault="00FA07EA" w:rsidP="005A1BBF">
      <w:pPr>
        <w:jc w:val="both"/>
        <w:rPr>
          <w:rFonts w:eastAsia="Arial" w:cs="Arial"/>
          <w:b/>
          <w:bCs/>
        </w:rPr>
      </w:pPr>
    </w:p>
    <w:p w14:paraId="2755E2B9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Políticas contabilísticas</w:t>
      </w:r>
    </w:p>
    <w:p w14:paraId="24E7A3E8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</w:p>
    <w:p w14:paraId="6587C6CF" w14:textId="77777777" w:rsidR="00C07B7C" w:rsidRDefault="00C07B7C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</w:p>
    <w:p w14:paraId="24E2D0A3" w14:textId="45529B7F" w:rsidR="00FA07EA" w:rsidRPr="0073608C" w:rsidRDefault="00ED7BDF" w:rsidP="005A1BBF">
      <w:pPr>
        <w:shd w:val="clear" w:color="auto" w:fill="FFFFFF"/>
        <w:autoSpaceDE w:val="0"/>
        <w:jc w:val="both"/>
        <w:rPr>
          <w:rFonts w:eastAsia="Arial" w:cs="Arial"/>
          <w:b/>
          <w:bCs/>
        </w:rPr>
      </w:pPr>
      <w:r w:rsidRPr="0073608C">
        <w:rPr>
          <w:rFonts w:eastAsia="Arial" w:cs="Arial"/>
          <w:b/>
          <w:bCs/>
        </w:rPr>
        <w:t xml:space="preserve">12.1 </w:t>
      </w:r>
      <w:r w:rsidR="00FA07EA" w:rsidRPr="0073608C">
        <w:rPr>
          <w:rFonts w:eastAsia="Arial" w:cs="Arial"/>
          <w:b/>
          <w:bCs/>
        </w:rPr>
        <w:t>Clientes/Fornecedores/</w:t>
      </w:r>
      <w:r w:rsidR="0071677A" w:rsidRPr="0073608C">
        <w:rPr>
          <w:rFonts w:eastAsia="Arial" w:cs="Arial"/>
          <w:b/>
          <w:bCs/>
        </w:rPr>
        <w:t>Acionistas</w:t>
      </w:r>
      <w:r w:rsidR="00FA07EA" w:rsidRPr="0073608C">
        <w:rPr>
          <w:rFonts w:eastAsia="Arial" w:cs="Arial"/>
          <w:b/>
          <w:bCs/>
        </w:rPr>
        <w:t>-Sócios/Outras contas a receber e a pagar/Pessoal</w:t>
      </w:r>
    </w:p>
    <w:p w14:paraId="2C6AC419" w14:textId="77777777" w:rsidR="00FA07EA" w:rsidRPr="0073608C" w:rsidRDefault="00FA07EA" w:rsidP="005A1BBF">
      <w:pPr>
        <w:shd w:val="clear" w:color="auto" w:fill="FFFFFF"/>
        <w:autoSpaceDE w:val="0"/>
        <w:jc w:val="both"/>
        <w:rPr>
          <w:rFonts w:eastAsia="Arial" w:cs="Arial"/>
        </w:rPr>
      </w:pPr>
    </w:p>
    <w:p w14:paraId="16F1C67B" w14:textId="61C496E6" w:rsidR="00FA07EA" w:rsidRPr="0073608C" w:rsidRDefault="00FA07EA" w:rsidP="005A1BBF">
      <w:pPr>
        <w:shd w:val="clear" w:color="auto" w:fill="FFFFFF"/>
        <w:autoSpaceDE w:val="0"/>
        <w:jc w:val="both"/>
        <w:rPr>
          <w:rFonts w:eastAsia="Arial" w:cs="Arial"/>
        </w:rPr>
      </w:pPr>
      <w:r w:rsidRPr="0073608C">
        <w:rPr>
          <w:rFonts w:eastAsia="Arial" w:cs="Arial"/>
        </w:rPr>
        <w:t xml:space="preserve">Em 31 de Dezembro de </w:t>
      </w:r>
      <w:r w:rsidR="00C26E60" w:rsidRPr="0073608C">
        <w:rPr>
          <w:rFonts w:eastAsia="Arial" w:cs="Arial"/>
        </w:rPr>
        <w:t>20</w:t>
      </w:r>
      <w:r w:rsidR="001226D4">
        <w:rPr>
          <w:rFonts w:eastAsia="Arial" w:cs="Arial"/>
        </w:rPr>
        <w:t>2</w:t>
      </w:r>
      <w:r w:rsidR="00BF6E86">
        <w:rPr>
          <w:rFonts w:eastAsia="Arial" w:cs="Arial"/>
        </w:rPr>
        <w:t>3</w:t>
      </w:r>
      <w:r w:rsidR="00C26E60" w:rsidRPr="0073608C">
        <w:rPr>
          <w:rFonts w:eastAsia="Arial" w:cs="Arial"/>
        </w:rPr>
        <w:t xml:space="preserve"> e 20</w:t>
      </w:r>
      <w:r w:rsidR="007B2857">
        <w:rPr>
          <w:rFonts w:eastAsia="Arial" w:cs="Arial"/>
        </w:rPr>
        <w:t>2</w:t>
      </w:r>
      <w:r w:rsidR="00BF6E86">
        <w:rPr>
          <w:rFonts w:eastAsia="Arial" w:cs="Arial"/>
        </w:rPr>
        <w:t>2</w:t>
      </w:r>
      <w:r w:rsidRPr="0073608C">
        <w:rPr>
          <w:rFonts w:eastAsia="Arial" w:cs="Arial"/>
        </w:rPr>
        <w:t xml:space="preserve">, </w:t>
      </w:r>
      <w:r w:rsidR="00C26E60" w:rsidRPr="0073608C">
        <w:rPr>
          <w:rFonts w:eastAsia="Arial" w:cs="Arial"/>
        </w:rPr>
        <w:t>a</w:t>
      </w:r>
      <w:r w:rsidRPr="0073608C">
        <w:rPr>
          <w:rFonts w:eastAsia="Arial" w:cs="Arial"/>
        </w:rPr>
        <w:t xml:space="preserve"> rub</w:t>
      </w:r>
      <w:r w:rsidR="001226D4">
        <w:rPr>
          <w:rFonts w:eastAsia="Arial" w:cs="Arial"/>
        </w:rPr>
        <w:t>rica de Clientes/Fornecedores/A</w:t>
      </w:r>
      <w:r w:rsidRPr="0073608C">
        <w:rPr>
          <w:rFonts w:eastAsia="Arial" w:cs="Arial"/>
        </w:rPr>
        <w:t>cionistas-Sócios/Outras contas a receber e a pagar e Pessoal apresentava a seguinte decomposição</w:t>
      </w:r>
      <w:r w:rsidR="00BF6E86">
        <w:rPr>
          <w:rFonts w:eastAsia="Arial" w:cs="Arial"/>
        </w:rPr>
        <w:t xml:space="preserve"> para efeitos comparativos</w:t>
      </w:r>
      <w:r w:rsidRPr="0073608C">
        <w:rPr>
          <w:rFonts w:eastAsia="Arial" w:cs="Arial"/>
        </w:rPr>
        <w:t>:</w:t>
      </w:r>
    </w:p>
    <w:p w14:paraId="54581687" w14:textId="77777777" w:rsidR="00A407BB" w:rsidRPr="0073608C" w:rsidRDefault="00A407BB" w:rsidP="005A1BBF">
      <w:pPr>
        <w:shd w:val="clear" w:color="auto" w:fill="FFFFFF"/>
        <w:autoSpaceDE w:val="0"/>
        <w:jc w:val="both"/>
        <w:rPr>
          <w:rFonts w:eastAsia="Arial" w:cs="Arial"/>
        </w:rPr>
      </w:pPr>
    </w:p>
    <w:p w14:paraId="52651B93" w14:textId="77777777" w:rsidR="00A407BB" w:rsidRDefault="00A407BB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bookmarkStart w:id="26" w:name="_MON_1365884219"/>
    <w:bookmarkStart w:id="27" w:name="_MON_1365884239"/>
    <w:bookmarkStart w:id="28" w:name="_MON_1365884262"/>
    <w:bookmarkStart w:id="29" w:name="_MON_1365884316"/>
    <w:bookmarkStart w:id="30" w:name="_MON_1365884365"/>
    <w:bookmarkStart w:id="31" w:name="_MON_1365884421"/>
    <w:bookmarkStart w:id="32" w:name="_MON_1366489549"/>
    <w:bookmarkStart w:id="33" w:name="_MON_1366489739"/>
    <w:bookmarkStart w:id="34" w:name="_MON_1363700492"/>
    <w:bookmarkStart w:id="35" w:name="_MON_1363700523"/>
    <w:bookmarkStart w:id="36" w:name="_MON_1365883740"/>
    <w:bookmarkStart w:id="37" w:name="_MON_1365884141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Start w:id="38" w:name="_MON_1365884187"/>
    <w:bookmarkEnd w:id="38"/>
    <w:p w14:paraId="1EA735A3" w14:textId="731E3421" w:rsidR="00FA07EA" w:rsidRDefault="00BF6E86" w:rsidP="00BB4446">
      <w:pPr>
        <w:shd w:val="clear" w:color="auto" w:fill="FFFFFF"/>
        <w:autoSpaceDE w:val="0"/>
        <w:ind w:left="-709"/>
        <w:jc w:val="both"/>
        <w:rPr>
          <w:rFonts w:eastAsia="Arial" w:cs="Arial"/>
          <w:b/>
          <w:bCs/>
          <w:color w:val="000000"/>
        </w:rPr>
      </w:pPr>
      <w:r>
        <w:object w:dxaOrig="14263" w:dyaOrig="6152" w14:anchorId="62987C76">
          <v:shape id="_x0000_i1029" type="#_x0000_t75" style="width:556.5pt;height:268.5pt" o:ole="" o:preferrelative="f" filled="t">
            <v:fill color2="black"/>
            <v:imagedata r:id="rId18" o:title=""/>
          </v:shape>
          <o:OLEObject Type="Embed" ProgID="Excel.Sheet.8" ShapeID="_x0000_i1029" DrawAspect="Content" ObjectID="_1771668124" r:id="rId19"/>
        </w:object>
      </w:r>
      <w:r w:rsidR="00BB4446">
        <w:tab/>
      </w:r>
      <w:r w:rsidR="00ED7BDF">
        <w:rPr>
          <w:rFonts w:eastAsia="Arial" w:cs="Arial"/>
          <w:b/>
          <w:bCs/>
          <w:color w:val="000000"/>
        </w:rPr>
        <w:t xml:space="preserve">12.2 </w:t>
      </w:r>
      <w:r w:rsidR="00676D47">
        <w:rPr>
          <w:rFonts w:eastAsia="Arial" w:cs="Arial"/>
          <w:b/>
          <w:bCs/>
          <w:color w:val="000000"/>
        </w:rPr>
        <w:t>E</w:t>
      </w:r>
      <w:r w:rsidR="00FA07EA">
        <w:rPr>
          <w:rFonts w:eastAsia="Arial" w:cs="Arial"/>
          <w:b/>
          <w:bCs/>
          <w:color w:val="000000"/>
        </w:rPr>
        <w:t>stado e outros entes públicos</w:t>
      </w:r>
    </w:p>
    <w:p w14:paraId="0FC1818A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0D933E03" w14:textId="0287C45A" w:rsidR="00FA07EA" w:rsidRPr="00BF14C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 w:rsidRPr="00BF14CA">
        <w:rPr>
          <w:rFonts w:eastAsia="Arial" w:cs="Arial"/>
          <w:color w:val="000000"/>
        </w:rPr>
        <w:t xml:space="preserve">Em 31 de Dezembro de </w:t>
      </w:r>
      <w:r w:rsidR="00DC2391" w:rsidRPr="00BF14CA">
        <w:rPr>
          <w:rFonts w:eastAsia="Arial" w:cs="Arial"/>
          <w:color w:val="000000"/>
        </w:rPr>
        <w:t>20</w:t>
      </w:r>
      <w:r w:rsidR="001226D4" w:rsidRPr="00BF14CA">
        <w:rPr>
          <w:rFonts w:eastAsia="Arial" w:cs="Arial"/>
          <w:color w:val="000000"/>
        </w:rPr>
        <w:t>2</w:t>
      </w:r>
      <w:r w:rsidR="00BF6E86">
        <w:rPr>
          <w:rFonts w:eastAsia="Arial" w:cs="Arial"/>
          <w:color w:val="000000"/>
        </w:rPr>
        <w:t>3</w:t>
      </w:r>
      <w:r w:rsidRPr="00BF14CA">
        <w:rPr>
          <w:rFonts w:eastAsia="Arial" w:cs="Arial"/>
          <w:color w:val="000000"/>
        </w:rPr>
        <w:t xml:space="preserve">, a rubrica de Estado e outros entes públicos </w:t>
      </w:r>
      <w:r w:rsidR="00EC1FAD">
        <w:rPr>
          <w:rFonts w:eastAsia="Arial" w:cs="Arial"/>
          <w:color w:val="000000"/>
        </w:rPr>
        <w:t xml:space="preserve"> registava </w:t>
      </w:r>
      <w:r w:rsidR="007772D0">
        <w:rPr>
          <w:rFonts w:eastAsia="Arial" w:cs="Arial"/>
          <w:color w:val="000000"/>
        </w:rPr>
        <w:t>apenas o valor do IMI a liquidar no montante de 20.57€</w:t>
      </w:r>
      <w:r w:rsidR="00BF6E86">
        <w:rPr>
          <w:rFonts w:eastAsia="Arial" w:cs="Arial"/>
          <w:color w:val="000000"/>
        </w:rPr>
        <w:t xml:space="preserve">, valor inalterável </w:t>
      </w:r>
      <w:r w:rsidR="00623956">
        <w:rPr>
          <w:rFonts w:eastAsia="Arial" w:cs="Arial"/>
          <w:color w:val="000000"/>
        </w:rPr>
        <w:t>desde 2021.</w:t>
      </w:r>
    </w:p>
    <w:p w14:paraId="64BEB960" w14:textId="77777777" w:rsidR="00FA07EA" w:rsidRDefault="00FA07EA" w:rsidP="005A1BBF">
      <w:pPr>
        <w:shd w:val="clear" w:color="auto" w:fill="FFFFFF"/>
        <w:autoSpaceDE w:val="0"/>
        <w:jc w:val="both"/>
        <w:rPr>
          <w:rFonts w:eastAsia="Times New Roman" w:cs="Times New Roman"/>
          <w:b/>
          <w:bCs/>
          <w:color w:val="000000"/>
        </w:rPr>
      </w:pPr>
      <w:bookmarkStart w:id="39" w:name="_MON_1363701503"/>
      <w:bookmarkStart w:id="40" w:name="_MON_1365884489"/>
      <w:bookmarkStart w:id="41" w:name="_MON_1365884512"/>
      <w:bookmarkStart w:id="42" w:name="_MON_1365884545"/>
      <w:bookmarkStart w:id="43" w:name="_MON_1365884726"/>
      <w:bookmarkStart w:id="44" w:name="_MON_1365884737"/>
      <w:bookmarkStart w:id="45" w:name="_MON_1365884774"/>
      <w:bookmarkStart w:id="46" w:name="_MON_1365884784"/>
      <w:bookmarkStart w:id="47" w:name="_MON_1365884822"/>
      <w:bookmarkStart w:id="48" w:name="_MON_1366489789"/>
      <w:bookmarkStart w:id="49" w:name="_MON_1363701107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3DA923D" w14:textId="77777777" w:rsidR="00FA07EA" w:rsidRDefault="00ED7BDF" w:rsidP="005A1BBF">
      <w:pPr>
        <w:shd w:val="clear" w:color="auto" w:fill="FFFFFF"/>
        <w:autoSpaceDE w:val="0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 xml:space="preserve">12.3 </w:t>
      </w:r>
      <w:r w:rsidR="00FA07EA">
        <w:rPr>
          <w:rFonts w:eastAsia="Arial" w:cs="Arial"/>
          <w:b/>
          <w:bCs/>
          <w:color w:val="000000"/>
        </w:rPr>
        <w:t>Capital próprio</w:t>
      </w:r>
    </w:p>
    <w:p w14:paraId="7328D306" w14:textId="77777777" w:rsidR="00FA07EA" w:rsidRDefault="00FA07EA" w:rsidP="005A1BB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14:paraId="0034751C" w14:textId="0055D357" w:rsidR="00FA07EA" w:rsidRPr="00A9011D" w:rsidRDefault="00FA07EA" w:rsidP="005A1BBF">
      <w:pPr>
        <w:shd w:val="clear" w:color="auto" w:fill="FFFFFF"/>
        <w:autoSpaceDE w:val="0"/>
        <w:jc w:val="both"/>
        <w:rPr>
          <w:rFonts w:eastAsia="Arial" w:cs="Arial"/>
        </w:rPr>
      </w:pPr>
      <w:r w:rsidRPr="00A9011D">
        <w:rPr>
          <w:rFonts w:eastAsia="Arial" w:cs="Arial"/>
        </w:rPr>
        <w:t xml:space="preserve">Em 31 de Dezembro de </w:t>
      </w:r>
      <w:r w:rsidR="000F6B1A" w:rsidRPr="00A9011D">
        <w:rPr>
          <w:rFonts w:eastAsia="Arial" w:cs="Arial"/>
        </w:rPr>
        <w:t>20</w:t>
      </w:r>
      <w:r w:rsidR="001226D4">
        <w:rPr>
          <w:rFonts w:eastAsia="Arial" w:cs="Arial"/>
        </w:rPr>
        <w:t>2</w:t>
      </w:r>
      <w:r w:rsidR="00623956">
        <w:rPr>
          <w:rFonts w:eastAsia="Arial" w:cs="Arial"/>
        </w:rPr>
        <w:t>3</w:t>
      </w:r>
      <w:r w:rsidR="000F6B1A" w:rsidRPr="00A9011D">
        <w:rPr>
          <w:rFonts w:eastAsia="Arial" w:cs="Arial"/>
        </w:rPr>
        <w:t xml:space="preserve"> e 20</w:t>
      </w:r>
      <w:r w:rsidR="00BF14CA">
        <w:rPr>
          <w:rFonts w:eastAsia="Arial" w:cs="Arial"/>
        </w:rPr>
        <w:t>2</w:t>
      </w:r>
      <w:r w:rsidR="00623956">
        <w:rPr>
          <w:rFonts w:eastAsia="Arial" w:cs="Arial"/>
        </w:rPr>
        <w:t>2</w:t>
      </w:r>
      <w:r w:rsidRPr="00A9011D">
        <w:rPr>
          <w:rFonts w:eastAsia="Arial" w:cs="Arial"/>
        </w:rPr>
        <w:t xml:space="preserve">, a rubrica de </w:t>
      </w:r>
      <w:r w:rsidR="00A9011D">
        <w:rPr>
          <w:rFonts w:eastAsia="Arial" w:cs="Arial"/>
        </w:rPr>
        <w:t xml:space="preserve">fundos patrimoniais </w:t>
      </w:r>
      <w:r w:rsidRPr="00A9011D">
        <w:rPr>
          <w:rFonts w:eastAsia="Arial" w:cs="Arial"/>
        </w:rPr>
        <w:t>apresentava a seguinte decomposição:</w:t>
      </w:r>
    </w:p>
    <w:p w14:paraId="777D643F" w14:textId="77777777" w:rsidR="00577021" w:rsidRPr="00A9011D" w:rsidRDefault="00577021" w:rsidP="005A1BBF">
      <w:pPr>
        <w:shd w:val="clear" w:color="auto" w:fill="FFFFFF"/>
        <w:autoSpaceDE w:val="0"/>
        <w:jc w:val="both"/>
        <w:rPr>
          <w:rFonts w:eastAsia="Arial" w:cs="Arial"/>
          <w:color w:val="FF0000"/>
        </w:rPr>
      </w:pPr>
    </w:p>
    <w:bookmarkStart w:id="50" w:name="_MON_1365884999"/>
    <w:bookmarkStart w:id="51" w:name="_MON_1366489175"/>
    <w:bookmarkStart w:id="52" w:name="_MON_1366489211"/>
    <w:bookmarkStart w:id="53" w:name="_MON_1366490129"/>
    <w:bookmarkStart w:id="54" w:name="_MON_1363701883"/>
    <w:bookmarkStart w:id="55" w:name="_MON_1363701972"/>
    <w:bookmarkEnd w:id="50"/>
    <w:bookmarkEnd w:id="51"/>
    <w:bookmarkEnd w:id="52"/>
    <w:bookmarkEnd w:id="53"/>
    <w:bookmarkEnd w:id="54"/>
    <w:bookmarkEnd w:id="55"/>
    <w:bookmarkStart w:id="56" w:name="_MON_1365884928"/>
    <w:bookmarkEnd w:id="56"/>
    <w:p w14:paraId="1F41CD87" w14:textId="3F979D99" w:rsidR="004D5CF7" w:rsidRDefault="00623956" w:rsidP="00BB4446">
      <w:pPr>
        <w:shd w:val="clear" w:color="auto" w:fill="FFFFFF"/>
        <w:autoSpaceDE w:val="0"/>
        <w:jc w:val="both"/>
        <w:rPr>
          <w:rFonts w:eastAsia="Arial" w:cs="Arial"/>
          <w:b/>
          <w:bCs/>
          <w:sz w:val="28"/>
          <w:szCs w:val="28"/>
        </w:rPr>
      </w:pPr>
      <w:r w:rsidRPr="00A9011D">
        <w:rPr>
          <w:color w:val="FF0000"/>
        </w:rPr>
        <w:object w:dxaOrig="9362" w:dyaOrig="2948" w14:anchorId="0EEB9682">
          <v:shape id="_x0000_i1030" type="#_x0000_t75" style="width:516.75pt;height:153pt" o:ole="" o:preferrelative="f" filled="t">
            <v:fill color2="black"/>
            <v:imagedata r:id="rId20" o:title=""/>
          </v:shape>
          <o:OLEObject Type="Embed" ProgID="Excel.Sheet.8" ShapeID="_x0000_i1030" DrawAspect="Content" ObjectID="_1771668125" r:id="rId21"/>
        </w:object>
      </w:r>
    </w:p>
    <w:p w14:paraId="3A76656C" w14:textId="77777777" w:rsidR="00FA07EA" w:rsidRPr="00754644" w:rsidRDefault="00114EEC" w:rsidP="005A1BBF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13</w:t>
      </w:r>
      <w:r w:rsidR="00FA07EA" w:rsidRPr="00754644">
        <w:rPr>
          <w:rFonts w:ascii="Arial" w:eastAsia="Arial" w:hAnsi="Arial" w:cs="Arial"/>
          <w:b/>
          <w:bCs/>
          <w:sz w:val="28"/>
          <w:szCs w:val="28"/>
        </w:rPr>
        <w:t>– Benefício dos empregados</w:t>
      </w:r>
    </w:p>
    <w:p w14:paraId="6B1DAE9B" w14:textId="77777777" w:rsidR="00FA07EA" w:rsidRPr="00ED7BDF" w:rsidRDefault="00FA07EA" w:rsidP="005A1BBF">
      <w:pPr>
        <w:jc w:val="both"/>
        <w:rPr>
          <w:b/>
        </w:rPr>
      </w:pPr>
    </w:p>
    <w:p w14:paraId="6CC0705C" w14:textId="77777777" w:rsidR="00F750A4" w:rsidRPr="00ED7BDF" w:rsidRDefault="00F750A4" w:rsidP="005A1BBF">
      <w:pPr>
        <w:jc w:val="both"/>
        <w:rPr>
          <w:b/>
        </w:rPr>
      </w:pPr>
      <w:r w:rsidRPr="00ED7BDF">
        <w:rPr>
          <w:b/>
        </w:rPr>
        <w:t>13.1</w:t>
      </w:r>
    </w:p>
    <w:p w14:paraId="2DA36399" w14:textId="77777777" w:rsidR="00FA07EA" w:rsidRDefault="00FA07EA" w:rsidP="00702BA7">
      <w:pPr>
        <w:ind w:left="-284"/>
        <w:jc w:val="both"/>
      </w:pPr>
      <w:bookmarkStart w:id="57" w:name="_MON_1365885543"/>
      <w:bookmarkStart w:id="58" w:name="_MON_1365885113"/>
      <w:bookmarkEnd w:id="57"/>
      <w:bookmarkEnd w:id="58"/>
    </w:p>
    <w:p w14:paraId="7030A6E4" w14:textId="77777777" w:rsidR="00676D47" w:rsidRDefault="00EC1FAD" w:rsidP="005A1BBF">
      <w:pPr>
        <w:jc w:val="both"/>
      </w:pPr>
      <w:r>
        <w:t>A Instituição não tem funcionários.</w:t>
      </w:r>
    </w:p>
    <w:p w14:paraId="157F6F84" w14:textId="77777777" w:rsidR="00FA07EA" w:rsidRDefault="00FA07EA" w:rsidP="005A1BBF">
      <w:pPr>
        <w:jc w:val="both"/>
      </w:pPr>
      <w:bookmarkStart w:id="59" w:name="_MON_1363702129"/>
      <w:bookmarkEnd w:id="59"/>
    </w:p>
    <w:p w14:paraId="54E5EA00" w14:textId="77777777" w:rsidR="00FA07EA" w:rsidRDefault="00FA07EA" w:rsidP="005A1BBF">
      <w:pPr>
        <w:jc w:val="both"/>
      </w:pPr>
    </w:p>
    <w:p w14:paraId="134EF40B" w14:textId="77777777" w:rsidR="004D5CF7" w:rsidRPr="00F750A4" w:rsidRDefault="00F750A4" w:rsidP="005A1BBF">
      <w:pPr>
        <w:jc w:val="both"/>
        <w:rPr>
          <w:b/>
        </w:rPr>
      </w:pPr>
      <w:r w:rsidRPr="00F750A4">
        <w:rPr>
          <w:b/>
        </w:rPr>
        <w:t xml:space="preserve">13.2 – Número de membros dos </w:t>
      </w:r>
      <w:r w:rsidR="001226D4" w:rsidRPr="00F750A4">
        <w:rPr>
          <w:b/>
        </w:rPr>
        <w:t>Órgãos</w:t>
      </w:r>
      <w:r w:rsidRPr="00F750A4">
        <w:rPr>
          <w:b/>
        </w:rPr>
        <w:t xml:space="preserve"> </w:t>
      </w:r>
      <w:r w:rsidR="001226D4" w:rsidRPr="00F750A4">
        <w:rPr>
          <w:b/>
        </w:rPr>
        <w:t>Diretivos</w:t>
      </w:r>
      <w:r w:rsidRPr="00F750A4">
        <w:rPr>
          <w:b/>
        </w:rPr>
        <w:t xml:space="preserve"> e alterações ocorridas no período de relato </w:t>
      </w:r>
      <w:r w:rsidRPr="00F750A4">
        <w:rPr>
          <w:b/>
        </w:rPr>
        <w:lastRenderedPageBreak/>
        <w:t>financeiro;</w:t>
      </w:r>
    </w:p>
    <w:p w14:paraId="56F50F01" w14:textId="77777777" w:rsidR="00F750A4" w:rsidRDefault="00F750A4" w:rsidP="005A1BBF">
      <w:pPr>
        <w:jc w:val="both"/>
      </w:pPr>
    </w:p>
    <w:p w14:paraId="124D7E5F" w14:textId="77777777" w:rsidR="00F750A4" w:rsidRDefault="00F750A4" w:rsidP="005A1BBF">
      <w:pPr>
        <w:jc w:val="both"/>
      </w:pPr>
      <w:r>
        <w:t xml:space="preserve">A Instituição encontra-se a nível dos órgãos </w:t>
      </w:r>
      <w:r w:rsidR="001226D4">
        <w:t>diretivos</w:t>
      </w:r>
      <w:r>
        <w:t>/sociais distribuíd</w:t>
      </w:r>
      <w:r w:rsidR="00505934">
        <w:t>os</w:t>
      </w:r>
      <w:r>
        <w:t xml:space="preserve"> da seguinte forma:</w:t>
      </w:r>
    </w:p>
    <w:p w14:paraId="41F5B04B" w14:textId="77777777" w:rsidR="00505934" w:rsidRDefault="00505934" w:rsidP="005A1BBF">
      <w:pPr>
        <w:jc w:val="both"/>
      </w:pPr>
    </w:p>
    <w:p w14:paraId="0979066A" w14:textId="77777777" w:rsidR="00F750A4" w:rsidRDefault="00F750A4" w:rsidP="00F750A4">
      <w:pPr>
        <w:pStyle w:val="PargrafodaLista"/>
        <w:numPr>
          <w:ilvl w:val="0"/>
          <w:numId w:val="37"/>
        </w:numPr>
        <w:jc w:val="both"/>
      </w:pPr>
      <w:r>
        <w:rPr>
          <w:b/>
        </w:rPr>
        <w:t xml:space="preserve">Mesa da </w:t>
      </w:r>
      <w:r w:rsidRPr="00F750A4">
        <w:rPr>
          <w:b/>
        </w:rPr>
        <w:t>Assembleia Geral</w:t>
      </w:r>
      <w:r w:rsidR="009E5D66">
        <w:t>, composta por Presidente, Vice-</w:t>
      </w:r>
      <w:r>
        <w:t xml:space="preserve">Presidente e dois Secretários, como membros </w:t>
      </w:r>
      <w:r w:rsidR="001226D4">
        <w:t>efetivos</w:t>
      </w:r>
      <w:r w:rsidR="00EC1FAD">
        <w:t>, e 3</w:t>
      </w:r>
      <w:r>
        <w:t xml:space="preserve"> suplentes;</w:t>
      </w:r>
    </w:p>
    <w:p w14:paraId="02F7C9D5" w14:textId="77777777" w:rsidR="00505934" w:rsidRDefault="00505934" w:rsidP="00505934">
      <w:pPr>
        <w:pStyle w:val="PargrafodaLista"/>
        <w:jc w:val="both"/>
      </w:pPr>
    </w:p>
    <w:p w14:paraId="7706A221" w14:textId="77777777" w:rsidR="00F750A4" w:rsidRDefault="00F750A4" w:rsidP="00F750A4">
      <w:pPr>
        <w:pStyle w:val="PargrafodaLista"/>
        <w:numPr>
          <w:ilvl w:val="0"/>
          <w:numId w:val="37"/>
        </w:numPr>
        <w:jc w:val="both"/>
      </w:pPr>
      <w:r w:rsidRPr="00F750A4">
        <w:rPr>
          <w:b/>
        </w:rPr>
        <w:t>Conselho Fiscal</w:t>
      </w:r>
      <w:r>
        <w:t>, composta por Pre</w:t>
      </w:r>
      <w:r w:rsidR="001226D4">
        <w:t>sidente</w:t>
      </w:r>
      <w:r w:rsidR="00EC1FAD">
        <w:t>, um vice presidente, um secretário</w:t>
      </w:r>
      <w:r w:rsidR="001226D4">
        <w:t xml:space="preserve"> e </w:t>
      </w:r>
      <w:r w:rsidR="00EC1FAD">
        <w:t>três</w:t>
      </w:r>
      <w:r>
        <w:t xml:space="preserve"> membros suplentes;</w:t>
      </w:r>
    </w:p>
    <w:p w14:paraId="5486BD35" w14:textId="77777777" w:rsidR="00505934" w:rsidRDefault="00505934" w:rsidP="00505934">
      <w:pPr>
        <w:pStyle w:val="PargrafodaLista"/>
      </w:pPr>
    </w:p>
    <w:p w14:paraId="50157657" w14:textId="77777777" w:rsidR="00F750A4" w:rsidRDefault="00F750A4" w:rsidP="00F750A4">
      <w:pPr>
        <w:pStyle w:val="PargrafodaLista"/>
        <w:numPr>
          <w:ilvl w:val="0"/>
          <w:numId w:val="37"/>
        </w:numPr>
        <w:jc w:val="both"/>
      </w:pPr>
      <w:r w:rsidRPr="00F750A4">
        <w:rPr>
          <w:b/>
        </w:rPr>
        <w:t>Mesa Administra</w:t>
      </w:r>
      <w:r>
        <w:rPr>
          <w:b/>
        </w:rPr>
        <w:t>t</w:t>
      </w:r>
      <w:r w:rsidRPr="00F750A4">
        <w:rPr>
          <w:b/>
        </w:rPr>
        <w:t>iva</w:t>
      </w:r>
      <w:r>
        <w:t>, composta por Provedor, Vice-Provedor, Tesoureiro, Secretári</w:t>
      </w:r>
      <w:r w:rsidR="00F8092B">
        <w:t>o</w:t>
      </w:r>
      <w:r w:rsidR="00EC1FAD">
        <w:t xml:space="preserve">, e </w:t>
      </w:r>
      <w:r w:rsidR="001226D4">
        <w:t>voga</w:t>
      </w:r>
      <w:r w:rsidR="00EC1FAD">
        <w:t>l</w:t>
      </w:r>
      <w:r w:rsidR="001226D4">
        <w:t>, todos efe</w:t>
      </w:r>
      <w:r w:rsidR="00EC1FAD">
        <w:t xml:space="preserve">tivos, e três </w:t>
      </w:r>
      <w:r>
        <w:t>membros suplentes.</w:t>
      </w:r>
    </w:p>
    <w:p w14:paraId="6269CA82" w14:textId="77777777" w:rsidR="00F750A4" w:rsidRDefault="00F750A4" w:rsidP="00F750A4">
      <w:pPr>
        <w:jc w:val="both"/>
      </w:pPr>
    </w:p>
    <w:p w14:paraId="0F8AD471" w14:textId="77777777" w:rsidR="00F750A4" w:rsidRDefault="00F750A4" w:rsidP="005A1BBF">
      <w:pPr>
        <w:jc w:val="both"/>
      </w:pPr>
    </w:p>
    <w:p w14:paraId="5C04A627" w14:textId="77777777" w:rsidR="00F750A4" w:rsidRPr="00F750A4" w:rsidRDefault="00F750A4" w:rsidP="005A1BBF">
      <w:pPr>
        <w:jc w:val="both"/>
        <w:rPr>
          <w:b/>
        </w:rPr>
      </w:pPr>
      <w:r w:rsidRPr="00F750A4">
        <w:rPr>
          <w:b/>
        </w:rPr>
        <w:t xml:space="preserve">13.3 – Informação sobre </w:t>
      </w:r>
      <w:r w:rsidR="001226D4">
        <w:rPr>
          <w:b/>
        </w:rPr>
        <w:t>as remunerações dos órgãos dire</w:t>
      </w:r>
      <w:r w:rsidRPr="00F750A4">
        <w:rPr>
          <w:b/>
        </w:rPr>
        <w:t>tivos;</w:t>
      </w:r>
    </w:p>
    <w:p w14:paraId="3966FB5D" w14:textId="77777777" w:rsidR="00F750A4" w:rsidRDefault="00F750A4" w:rsidP="005A1BBF">
      <w:pPr>
        <w:jc w:val="both"/>
      </w:pPr>
    </w:p>
    <w:p w14:paraId="3EC5E66B" w14:textId="77777777" w:rsidR="00F750A4" w:rsidRDefault="00F750A4" w:rsidP="00565B04">
      <w:pPr>
        <w:ind w:firstLine="709"/>
        <w:jc w:val="both"/>
      </w:pPr>
      <w:r>
        <w:t xml:space="preserve">Em nenhum órgão da Instituição existe </w:t>
      </w:r>
      <w:r w:rsidR="00565B04">
        <w:t xml:space="preserve">qualquer tipo de </w:t>
      </w:r>
      <w:r>
        <w:t>remuneração a qualquer membro, encontrando-se todos no âmbito do voluntariado.</w:t>
      </w:r>
    </w:p>
    <w:p w14:paraId="49256339" w14:textId="77777777" w:rsidR="004D5CF7" w:rsidRDefault="004D5CF7" w:rsidP="005A1BBF">
      <w:pPr>
        <w:jc w:val="both"/>
      </w:pPr>
    </w:p>
    <w:p w14:paraId="3A5C5F11" w14:textId="77777777" w:rsidR="00C07B7C" w:rsidRDefault="00C07B7C" w:rsidP="005A1BBF">
      <w:pPr>
        <w:jc w:val="both"/>
        <w:rPr>
          <w:b/>
        </w:rPr>
      </w:pPr>
    </w:p>
    <w:p w14:paraId="04B7F575" w14:textId="77777777" w:rsidR="004D5CF7" w:rsidRPr="004D5CF7" w:rsidRDefault="004D5CF7" w:rsidP="005A1BBF">
      <w:pPr>
        <w:jc w:val="both"/>
        <w:rPr>
          <w:b/>
        </w:rPr>
      </w:pPr>
      <w:r w:rsidRPr="004D5CF7">
        <w:rPr>
          <w:b/>
        </w:rPr>
        <w:t>14. Relação de gastos em Fornecimentos e Serviços Externos.</w:t>
      </w:r>
    </w:p>
    <w:p w14:paraId="20503AA9" w14:textId="77777777" w:rsidR="004D5CF7" w:rsidRDefault="004D5CF7" w:rsidP="005A1BBF">
      <w:pPr>
        <w:jc w:val="both"/>
      </w:pPr>
    </w:p>
    <w:p w14:paraId="40E71EDD" w14:textId="415DF502" w:rsidR="004D5CF7" w:rsidRDefault="004D5CF7" w:rsidP="005A1BBF">
      <w:pPr>
        <w:jc w:val="both"/>
      </w:pPr>
      <w:r>
        <w:tab/>
        <w:t>E</w:t>
      </w:r>
      <w:r w:rsidR="00760201">
        <w:t xml:space="preserve">ntre </w:t>
      </w:r>
      <w:r w:rsidR="001226D4">
        <w:t>202</w:t>
      </w:r>
      <w:r w:rsidR="00623956">
        <w:t>3</w:t>
      </w:r>
      <w:r w:rsidR="004060F7">
        <w:t xml:space="preserve"> e 20</w:t>
      </w:r>
      <w:r w:rsidR="00EC1FAD">
        <w:t>2</w:t>
      </w:r>
      <w:r w:rsidR="00623956">
        <w:t>2</w:t>
      </w:r>
      <w:r>
        <w:t>, a Instituição apresentou os seguintes gastos por rubrica.</w:t>
      </w:r>
    </w:p>
    <w:p w14:paraId="7D97EA56" w14:textId="77777777" w:rsidR="004D5CF7" w:rsidRDefault="004D5CF7" w:rsidP="005A1BBF">
      <w:pPr>
        <w:jc w:val="both"/>
      </w:pPr>
    </w:p>
    <w:tbl>
      <w:tblPr>
        <w:tblW w:w="6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1640"/>
        <w:gridCol w:w="1640"/>
      </w:tblGrid>
      <w:tr w:rsidR="00317E16" w:rsidRPr="004D5CF7" w14:paraId="3E5F11DC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4805CE37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14:paraId="35B4CF5B" w14:textId="39BBD5E8" w:rsidR="00317E16" w:rsidRDefault="00317E16" w:rsidP="00623956">
            <w:pPr>
              <w:jc w:val="center"/>
              <w:rPr>
                <w:rFonts w:ascii="Calibri" w:hAnsi="Calibri" w:cs="Arial"/>
                <w:b/>
                <w:sz w:val="22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18"/>
              </w:rPr>
              <w:t>Ano de 2023</w:t>
            </w:r>
          </w:p>
        </w:tc>
        <w:tc>
          <w:tcPr>
            <w:tcW w:w="1640" w:type="dxa"/>
          </w:tcPr>
          <w:p w14:paraId="009523CB" w14:textId="1DC1FA87" w:rsidR="00317E16" w:rsidRDefault="00317E16" w:rsidP="00BB4446">
            <w:pPr>
              <w:jc w:val="center"/>
              <w:rPr>
                <w:rFonts w:ascii="Calibri" w:hAnsi="Calibri" w:cs="Arial"/>
                <w:b/>
                <w:sz w:val="22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18"/>
              </w:rPr>
              <w:t>Ano de 2022</w:t>
            </w:r>
          </w:p>
        </w:tc>
      </w:tr>
      <w:tr w:rsidR="00317E16" w:rsidRPr="004D5CF7" w14:paraId="255387C0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603D0295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Electricidade</w:t>
            </w:r>
          </w:p>
        </w:tc>
        <w:tc>
          <w:tcPr>
            <w:tcW w:w="1640" w:type="dxa"/>
          </w:tcPr>
          <w:p w14:paraId="1DE4714A" w14:textId="3D98616E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3.303,66 €</w:t>
            </w:r>
          </w:p>
        </w:tc>
        <w:tc>
          <w:tcPr>
            <w:tcW w:w="1640" w:type="dxa"/>
          </w:tcPr>
          <w:p w14:paraId="0A8BB9F0" w14:textId="18D0644A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4.968,54 €</w:t>
            </w:r>
          </w:p>
        </w:tc>
      </w:tr>
      <w:tr w:rsidR="00317E16" w:rsidRPr="004D5CF7" w14:paraId="222EB37B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108BA8B8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Combustíveis</w:t>
            </w:r>
          </w:p>
        </w:tc>
        <w:tc>
          <w:tcPr>
            <w:tcW w:w="1640" w:type="dxa"/>
          </w:tcPr>
          <w:p w14:paraId="6745E650" w14:textId="723345D1" w:rsidR="00317E16" w:rsidRDefault="00317E16" w:rsidP="00BB4446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0,00 €</w:t>
            </w:r>
          </w:p>
        </w:tc>
        <w:tc>
          <w:tcPr>
            <w:tcW w:w="1640" w:type="dxa"/>
          </w:tcPr>
          <w:p w14:paraId="2E392D53" w14:textId="75FD7DCF" w:rsidR="00317E16" w:rsidRDefault="00317E16" w:rsidP="00BB4446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0,00 €</w:t>
            </w:r>
          </w:p>
        </w:tc>
      </w:tr>
      <w:tr w:rsidR="00317E16" w:rsidRPr="004D5CF7" w14:paraId="7504C1A8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74A84CBF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Água</w:t>
            </w:r>
          </w:p>
        </w:tc>
        <w:tc>
          <w:tcPr>
            <w:tcW w:w="1640" w:type="dxa"/>
          </w:tcPr>
          <w:p w14:paraId="7DCF6C84" w14:textId="26595037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234,66 €</w:t>
            </w:r>
          </w:p>
        </w:tc>
        <w:tc>
          <w:tcPr>
            <w:tcW w:w="1640" w:type="dxa"/>
          </w:tcPr>
          <w:p w14:paraId="45649DD4" w14:textId="0C716A08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205,67 €</w:t>
            </w:r>
          </w:p>
        </w:tc>
      </w:tr>
      <w:tr w:rsidR="00317E16" w:rsidRPr="004D5CF7" w14:paraId="0B0C2986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52864E34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Mat.Escritório</w:t>
            </w:r>
          </w:p>
        </w:tc>
        <w:tc>
          <w:tcPr>
            <w:tcW w:w="1640" w:type="dxa"/>
          </w:tcPr>
          <w:p w14:paraId="670D0258" w14:textId="6777167F" w:rsidR="00317E16" w:rsidRDefault="00317E16" w:rsidP="001226D4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35,99 €</w:t>
            </w:r>
          </w:p>
        </w:tc>
        <w:tc>
          <w:tcPr>
            <w:tcW w:w="1640" w:type="dxa"/>
          </w:tcPr>
          <w:p w14:paraId="0182C571" w14:textId="619E2EAC" w:rsidR="00317E16" w:rsidRDefault="00317E16" w:rsidP="001226D4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317,58 €</w:t>
            </w:r>
          </w:p>
        </w:tc>
      </w:tr>
      <w:tr w:rsidR="00317E16" w:rsidRPr="004D5CF7" w14:paraId="541E751F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6CA1A43D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Comunicação</w:t>
            </w:r>
          </w:p>
        </w:tc>
        <w:tc>
          <w:tcPr>
            <w:tcW w:w="1640" w:type="dxa"/>
          </w:tcPr>
          <w:p w14:paraId="3DD5C7C9" w14:textId="79D9748D" w:rsidR="00317E16" w:rsidRDefault="00317E16" w:rsidP="00074D5A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141,44 €</w:t>
            </w:r>
          </w:p>
        </w:tc>
        <w:tc>
          <w:tcPr>
            <w:tcW w:w="1640" w:type="dxa"/>
          </w:tcPr>
          <w:p w14:paraId="0F3CE8AC" w14:textId="36792C1D" w:rsidR="00317E16" w:rsidRDefault="00317E16" w:rsidP="00074D5A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113,13 €</w:t>
            </w:r>
          </w:p>
        </w:tc>
      </w:tr>
      <w:tr w:rsidR="00317E16" w:rsidRPr="004D5CF7" w14:paraId="07BF9ABF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2F801156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Seguros</w:t>
            </w:r>
          </w:p>
        </w:tc>
        <w:tc>
          <w:tcPr>
            <w:tcW w:w="1640" w:type="dxa"/>
          </w:tcPr>
          <w:p w14:paraId="2DBF859C" w14:textId="6BAA2850" w:rsidR="00317E16" w:rsidRDefault="00317E16" w:rsidP="00FD621E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1.097,67 €</w:t>
            </w:r>
          </w:p>
        </w:tc>
        <w:tc>
          <w:tcPr>
            <w:tcW w:w="1640" w:type="dxa"/>
          </w:tcPr>
          <w:p w14:paraId="3274308A" w14:textId="48BA847B" w:rsidR="00317E16" w:rsidRDefault="00317E16" w:rsidP="00FD621E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1.050,82 €</w:t>
            </w:r>
          </w:p>
        </w:tc>
      </w:tr>
      <w:tr w:rsidR="00317E16" w:rsidRPr="004D5CF7" w14:paraId="668D91DA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5CA058CB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Deslocações e estadas</w:t>
            </w:r>
          </w:p>
        </w:tc>
        <w:tc>
          <w:tcPr>
            <w:tcW w:w="1640" w:type="dxa"/>
          </w:tcPr>
          <w:p w14:paraId="4A7849D7" w14:textId="404329DF" w:rsidR="00317E16" w:rsidRDefault="00317E16" w:rsidP="00FD621E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864,59 €</w:t>
            </w:r>
          </w:p>
        </w:tc>
        <w:tc>
          <w:tcPr>
            <w:tcW w:w="1640" w:type="dxa"/>
          </w:tcPr>
          <w:p w14:paraId="22498D45" w14:textId="2DA25C45" w:rsidR="00317E16" w:rsidRDefault="00317E16" w:rsidP="00FD621E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842,73 €</w:t>
            </w:r>
          </w:p>
        </w:tc>
      </w:tr>
      <w:tr w:rsidR="00317E16" w:rsidRPr="004D5CF7" w14:paraId="3A1FB428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60213A46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Honorários</w:t>
            </w:r>
          </w:p>
        </w:tc>
        <w:tc>
          <w:tcPr>
            <w:tcW w:w="1640" w:type="dxa"/>
          </w:tcPr>
          <w:p w14:paraId="40CDC9AF" w14:textId="32B40C28" w:rsidR="00317E16" w:rsidRDefault="00317E16" w:rsidP="00074D5A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2.680,00 €</w:t>
            </w:r>
          </w:p>
        </w:tc>
        <w:tc>
          <w:tcPr>
            <w:tcW w:w="1640" w:type="dxa"/>
          </w:tcPr>
          <w:p w14:paraId="4AE1C113" w14:textId="58CF8EB3" w:rsidR="00317E16" w:rsidRDefault="00317E16" w:rsidP="00074D5A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3.593,10 €</w:t>
            </w:r>
          </w:p>
        </w:tc>
      </w:tr>
      <w:tr w:rsidR="00317E16" w:rsidRPr="004D5CF7" w14:paraId="37FA13ED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6D4F3181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Contencioso e notariado</w:t>
            </w:r>
          </w:p>
        </w:tc>
        <w:tc>
          <w:tcPr>
            <w:tcW w:w="1640" w:type="dxa"/>
          </w:tcPr>
          <w:p w14:paraId="57D810F3" w14:textId="340A4D06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561,00 €</w:t>
            </w:r>
          </w:p>
        </w:tc>
        <w:tc>
          <w:tcPr>
            <w:tcW w:w="1640" w:type="dxa"/>
          </w:tcPr>
          <w:p w14:paraId="3C95E036" w14:textId="043AA4C3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0,00 €</w:t>
            </w:r>
          </w:p>
        </w:tc>
      </w:tr>
      <w:tr w:rsidR="00317E16" w:rsidRPr="004D5CF7" w14:paraId="7016C341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0FDB3EA5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Conservação e Reparação </w:t>
            </w:r>
          </w:p>
        </w:tc>
        <w:tc>
          <w:tcPr>
            <w:tcW w:w="1640" w:type="dxa"/>
          </w:tcPr>
          <w:p w14:paraId="5A3A4418" w14:textId="67B99557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0,00 €</w:t>
            </w:r>
          </w:p>
        </w:tc>
        <w:tc>
          <w:tcPr>
            <w:tcW w:w="1640" w:type="dxa"/>
          </w:tcPr>
          <w:p w14:paraId="62A7288A" w14:textId="12DB5AE4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5.461,20 €</w:t>
            </w:r>
          </w:p>
        </w:tc>
      </w:tr>
      <w:tr w:rsidR="00317E16" w:rsidRPr="004D5CF7" w14:paraId="06549172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344D7BA4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Trab.Especializados</w:t>
            </w:r>
          </w:p>
        </w:tc>
        <w:tc>
          <w:tcPr>
            <w:tcW w:w="1640" w:type="dxa"/>
          </w:tcPr>
          <w:p w14:paraId="520F0241" w14:textId="0A39C0D1" w:rsidR="00317E16" w:rsidRDefault="00317E16" w:rsidP="00D74D1C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922,50 €</w:t>
            </w:r>
          </w:p>
        </w:tc>
        <w:tc>
          <w:tcPr>
            <w:tcW w:w="1640" w:type="dxa"/>
          </w:tcPr>
          <w:p w14:paraId="2A3B6693" w14:textId="362A6116" w:rsidR="00317E16" w:rsidRDefault="00317E16" w:rsidP="00EC1FAD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4.845,00 €</w:t>
            </w:r>
          </w:p>
        </w:tc>
      </w:tr>
      <w:tr w:rsidR="00317E16" w:rsidRPr="004D5CF7" w14:paraId="6D3E8B7C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755C888B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Limpeza, higiene e conforto</w:t>
            </w:r>
          </w:p>
        </w:tc>
        <w:tc>
          <w:tcPr>
            <w:tcW w:w="1640" w:type="dxa"/>
          </w:tcPr>
          <w:p w14:paraId="56F33E46" w14:textId="64A6B909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330,83 €</w:t>
            </w:r>
          </w:p>
        </w:tc>
        <w:tc>
          <w:tcPr>
            <w:tcW w:w="1640" w:type="dxa"/>
          </w:tcPr>
          <w:p w14:paraId="3D2ADC76" w14:textId="25E0A518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359,94 €</w:t>
            </w:r>
          </w:p>
        </w:tc>
      </w:tr>
      <w:tr w:rsidR="00317E16" w:rsidRPr="004D5CF7" w14:paraId="45F392CD" w14:textId="77777777" w:rsidTr="00317E16">
        <w:trPr>
          <w:trHeight w:val="255"/>
          <w:jc w:val="center"/>
        </w:trPr>
        <w:tc>
          <w:tcPr>
            <w:tcW w:w="2941" w:type="dxa"/>
            <w:shd w:val="clear" w:color="auto" w:fill="auto"/>
            <w:noWrap/>
            <w:vAlign w:val="bottom"/>
          </w:tcPr>
          <w:p w14:paraId="782ADCC7" w14:textId="46B9AD2F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Publicidade e Propaganda</w:t>
            </w:r>
          </w:p>
        </w:tc>
        <w:tc>
          <w:tcPr>
            <w:tcW w:w="1640" w:type="dxa"/>
          </w:tcPr>
          <w:p w14:paraId="39989264" w14:textId="6B15876D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1.599,00 €</w:t>
            </w:r>
          </w:p>
        </w:tc>
        <w:tc>
          <w:tcPr>
            <w:tcW w:w="1640" w:type="dxa"/>
          </w:tcPr>
          <w:p w14:paraId="1F64A59F" w14:textId="5ABD2927" w:rsidR="00317E16" w:rsidRDefault="00317E16" w:rsidP="004A5FC1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1.549,80 €</w:t>
            </w:r>
          </w:p>
        </w:tc>
      </w:tr>
      <w:tr w:rsidR="00317E16" w:rsidRPr="004D5CF7" w14:paraId="26BA5505" w14:textId="77777777" w:rsidTr="00317E16">
        <w:trPr>
          <w:trHeight w:val="270"/>
          <w:jc w:val="center"/>
        </w:trPr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137A0E7C" w14:textId="77777777" w:rsidR="00317E16" w:rsidRDefault="00317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Forn.Serviços Externos</w:t>
            </w:r>
          </w:p>
        </w:tc>
        <w:tc>
          <w:tcPr>
            <w:tcW w:w="1640" w:type="dxa"/>
          </w:tcPr>
          <w:p w14:paraId="79A84713" w14:textId="7BCCE89B" w:rsidR="00317E16" w:rsidRDefault="00317E16" w:rsidP="008C4C10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703,49 €</w:t>
            </w:r>
          </w:p>
        </w:tc>
        <w:tc>
          <w:tcPr>
            <w:tcW w:w="1640" w:type="dxa"/>
          </w:tcPr>
          <w:p w14:paraId="4A20B0D8" w14:textId="76028BE1" w:rsidR="00317E16" w:rsidRDefault="00317E16" w:rsidP="00784D4B">
            <w:pPr>
              <w:jc w:val="right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758,42 €</w:t>
            </w:r>
          </w:p>
        </w:tc>
      </w:tr>
      <w:tr w:rsidR="00317E16" w:rsidRPr="004D5CF7" w14:paraId="64F26416" w14:textId="77777777" w:rsidTr="00317E16">
        <w:trPr>
          <w:trHeight w:val="270"/>
          <w:jc w:val="center"/>
        </w:trPr>
        <w:tc>
          <w:tcPr>
            <w:tcW w:w="2941" w:type="dxa"/>
            <w:shd w:val="clear" w:color="000000" w:fill="99CCFF"/>
            <w:noWrap/>
            <w:vAlign w:val="bottom"/>
            <w:hideMark/>
          </w:tcPr>
          <w:p w14:paraId="555C7004" w14:textId="77777777" w:rsidR="00317E16" w:rsidRPr="00A90A77" w:rsidRDefault="00317E16" w:rsidP="00A90A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0A77">
              <w:rPr>
                <w:rFonts w:ascii="Arial" w:hAnsi="Arial" w:cs="Arial"/>
                <w:b/>
                <w:sz w:val="20"/>
                <w:szCs w:val="20"/>
              </w:rPr>
              <w:t xml:space="preserve">Total F.S. EXTERNOS </w:t>
            </w:r>
          </w:p>
        </w:tc>
        <w:tc>
          <w:tcPr>
            <w:tcW w:w="1640" w:type="dxa"/>
            <w:shd w:val="clear" w:color="000000" w:fill="99CCFF"/>
          </w:tcPr>
          <w:p w14:paraId="28BF9DF0" w14:textId="7A413F66" w:rsidR="00317E16" w:rsidRDefault="00317E16">
            <w:pPr>
              <w:jc w:val="right"/>
              <w:rPr>
                <w:rFonts w:ascii="Calibri" w:hAnsi="Calibri" w:cs="Arial"/>
                <w:b/>
                <w:sz w:val="22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18"/>
              </w:rPr>
              <w:t>12.474,83 €</w:t>
            </w:r>
          </w:p>
        </w:tc>
        <w:tc>
          <w:tcPr>
            <w:tcW w:w="1640" w:type="dxa"/>
            <w:shd w:val="clear" w:color="000000" w:fill="99CCFF"/>
          </w:tcPr>
          <w:p w14:paraId="55118026" w14:textId="06849E75" w:rsidR="00317E16" w:rsidRDefault="00317E16">
            <w:pPr>
              <w:jc w:val="right"/>
              <w:rPr>
                <w:rFonts w:ascii="Calibri" w:hAnsi="Calibri" w:cs="Arial"/>
                <w:b/>
                <w:sz w:val="22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18"/>
              </w:rPr>
              <w:t>24.065,93</w:t>
            </w:r>
          </w:p>
        </w:tc>
      </w:tr>
    </w:tbl>
    <w:p w14:paraId="7948ECB7" w14:textId="3C62623F" w:rsidR="007772D0" w:rsidRDefault="007772D0" w:rsidP="005A1BBF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</w:r>
    </w:p>
    <w:p w14:paraId="1D9230F1" w14:textId="77777777" w:rsidR="007772D0" w:rsidRDefault="00676D47" w:rsidP="00676D47">
      <w:pPr>
        <w:jc w:val="both"/>
        <w:rPr>
          <w:rFonts w:cs="Times New Roman"/>
          <w:b/>
        </w:rPr>
      </w:pPr>
      <w:r w:rsidRPr="00787287">
        <w:rPr>
          <w:rFonts w:cs="Times New Roman"/>
          <w:b/>
        </w:rPr>
        <w:t xml:space="preserve">    1</w:t>
      </w:r>
      <w:r w:rsidR="007772D0">
        <w:rPr>
          <w:rFonts w:cs="Times New Roman"/>
          <w:b/>
        </w:rPr>
        <w:t>5. Outros Gastos e Perdas.</w:t>
      </w:r>
    </w:p>
    <w:p w14:paraId="0C6C4D05" w14:textId="77777777" w:rsidR="007772D0" w:rsidRPr="007772D0" w:rsidRDefault="007772D0" w:rsidP="00676D47">
      <w:pPr>
        <w:jc w:val="both"/>
        <w:rPr>
          <w:rFonts w:cs="Times New Roman"/>
        </w:rPr>
      </w:pPr>
      <w:r>
        <w:rPr>
          <w:rFonts w:cs="Times New Roman"/>
          <w:b/>
        </w:rPr>
        <w:tab/>
      </w:r>
    </w:p>
    <w:p w14:paraId="31D36686" w14:textId="68A3812C" w:rsidR="007772D0" w:rsidRPr="007772D0" w:rsidRDefault="007772D0" w:rsidP="00676D47">
      <w:pPr>
        <w:jc w:val="both"/>
        <w:rPr>
          <w:rFonts w:cs="Times New Roman"/>
        </w:rPr>
      </w:pPr>
      <w:r w:rsidRPr="007772D0">
        <w:rPr>
          <w:rFonts w:cs="Times New Roman"/>
        </w:rPr>
        <w:tab/>
        <w:t>Nesta rubrica, em 202</w:t>
      </w:r>
      <w:r w:rsidR="00471F50">
        <w:rPr>
          <w:rFonts w:cs="Times New Roman"/>
        </w:rPr>
        <w:t>3</w:t>
      </w:r>
      <w:r w:rsidRPr="007772D0">
        <w:rPr>
          <w:rFonts w:cs="Times New Roman"/>
        </w:rPr>
        <w:t xml:space="preserve">, foram consideradas </w:t>
      </w:r>
      <w:r w:rsidR="00A743D0">
        <w:rPr>
          <w:rFonts w:cs="Times New Roman"/>
        </w:rPr>
        <w:t xml:space="preserve">o </w:t>
      </w:r>
      <w:r w:rsidRPr="007772D0">
        <w:rPr>
          <w:rFonts w:cs="Times New Roman"/>
        </w:rPr>
        <w:t>IMI (20,57€)</w:t>
      </w:r>
      <w:r w:rsidR="00A743D0">
        <w:rPr>
          <w:rFonts w:cs="Times New Roman"/>
        </w:rPr>
        <w:t xml:space="preserve">  e a correcção de um excesso de estimativa contabilística de juros em </w:t>
      </w:r>
      <w:r w:rsidR="001C43E7">
        <w:rPr>
          <w:rFonts w:cs="Times New Roman"/>
        </w:rPr>
        <w:t>375,96€.</w:t>
      </w:r>
    </w:p>
    <w:p w14:paraId="1610F4E1" w14:textId="77777777" w:rsidR="007772D0" w:rsidRDefault="007772D0" w:rsidP="00676D47">
      <w:pPr>
        <w:jc w:val="both"/>
        <w:rPr>
          <w:rFonts w:cs="Times New Roman"/>
          <w:b/>
        </w:rPr>
      </w:pPr>
    </w:p>
    <w:p w14:paraId="238F192E" w14:textId="2E405D31" w:rsidR="00676D47" w:rsidRPr="00787287" w:rsidRDefault="00784D4B" w:rsidP="00784D4B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7772D0">
        <w:rPr>
          <w:rFonts w:cs="Times New Roman"/>
          <w:b/>
        </w:rPr>
        <w:t>16</w:t>
      </w:r>
      <w:r w:rsidR="00676D47" w:rsidRPr="00787287">
        <w:rPr>
          <w:rFonts w:cs="Times New Roman"/>
          <w:b/>
        </w:rPr>
        <w:t>. Juros e gastos Similares suportados.</w:t>
      </w:r>
    </w:p>
    <w:p w14:paraId="43C5D174" w14:textId="77777777" w:rsidR="00676D47" w:rsidRPr="00787287" w:rsidRDefault="00676D47" w:rsidP="005A1BBF">
      <w:pPr>
        <w:jc w:val="both"/>
        <w:rPr>
          <w:rFonts w:cs="Times New Roman"/>
        </w:rPr>
      </w:pPr>
    </w:p>
    <w:p w14:paraId="17011D85" w14:textId="230A41F7" w:rsidR="00787287" w:rsidRPr="00787287" w:rsidRDefault="00074D5A" w:rsidP="005A1BBF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  <w:t>No ano de 202</w:t>
      </w:r>
      <w:r w:rsidR="001C43E7">
        <w:rPr>
          <w:rFonts w:cs="Times New Roman"/>
        </w:rPr>
        <w:t>3</w:t>
      </w:r>
      <w:r w:rsidR="00676D47" w:rsidRPr="00787287">
        <w:rPr>
          <w:rFonts w:cs="Times New Roman"/>
        </w:rPr>
        <w:t xml:space="preserve"> </w:t>
      </w:r>
      <w:r w:rsidR="001C43E7">
        <w:rPr>
          <w:rFonts w:cs="Times New Roman"/>
        </w:rPr>
        <w:t xml:space="preserve">não foram </w:t>
      </w:r>
      <w:r w:rsidR="00784D4B">
        <w:rPr>
          <w:rFonts w:cs="Times New Roman"/>
        </w:rPr>
        <w:t>contabilizado</w:t>
      </w:r>
      <w:r w:rsidR="001C43E7">
        <w:rPr>
          <w:rFonts w:cs="Times New Roman"/>
        </w:rPr>
        <w:t>s gastos</w:t>
      </w:r>
      <w:r w:rsidR="00784D4B">
        <w:rPr>
          <w:rFonts w:cs="Times New Roman"/>
        </w:rPr>
        <w:t>.</w:t>
      </w:r>
    </w:p>
    <w:p w14:paraId="20D62AA5" w14:textId="77777777" w:rsidR="00C07B7C" w:rsidRPr="00787287" w:rsidRDefault="00676D47" w:rsidP="005A1BBF">
      <w:pPr>
        <w:jc w:val="both"/>
        <w:rPr>
          <w:rFonts w:cs="Times New Roman"/>
        </w:rPr>
      </w:pPr>
      <w:r w:rsidRPr="00787287">
        <w:rPr>
          <w:rFonts w:cs="Times New Roman"/>
        </w:rPr>
        <w:t xml:space="preserve"> </w:t>
      </w:r>
    </w:p>
    <w:p w14:paraId="532EBFAD" w14:textId="0CDE26FE" w:rsidR="00A90A77" w:rsidRDefault="00074D5A" w:rsidP="00C07B7C">
      <w:pPr>
        <w:ind w:firstLine="709"/>
        <w:jc w:val="both"/>
        <w:rPr>
          <w:rFonts w:cs="Times New Roman"/>
        </w:rPr>
      </w:pPr>
      <w:r>
        <w:rPr>
          <w:rFonts w:cs="Times New Roman"/>
        </w:rPr>
        <w:t>Ao invés f</w:t>
      </w:r>
      <w:r w:rsidR="00A90A77" w:rsidRPr="00787287">
        <w:rPr>
          <w:rFonts w:cs="Times New Roman"/>
        </w:rPr>
        <w:t>o</w:t>
      </w:r>
      <w:r w:rsidR="00787287" w:rsidRPr="00787287">
        <w:rPr>
          <w:rFonts w:cs="Times New Roman"/>
        </w:rPr>
        <w:t xml:space="preserve">ram </w:t>
      </w:r>
      <w:r w:rsidR="00A90A77" w:rsidRPr="00787287">
        <w:rPr>
          <w:rFonts w:cs="Times New Roman"/>
        </w:rPr>
        <w:t>contabilizado</w:t>
      </w:r>
      <w:r w:rsidR="00C643D7">
        <w:rPr>
          <w:rFonts w:cs="Times New Roman"/>
        </w:rPr>
        <w:t>s</w:t>
      </w:r>
      <w:r w:rsidR="00A90A77" w:rsidRPr="00787287">
        <w:rPr>
          <w:rFonts w:cs="Times New Roman"/>
        </w:rPr>
        <w:t xml:space="preserve"> os juros credores</w:t>
      </w:r>
      <w:r>
        <w:rPr>
          <w:rFonts w:cs="Times New Roman"/>
        </w:rPr>
        <w:t>,</w:t>
      </w:r>
      <w:r w:rsidR="00A90A77" w:rsidRPr="00787287">
        <w:rPr>
          <w:rFonts w:cs="Times New Roman"/>
        </w:rPr>
        <w:t xml:space="preserve"> provenientes </w:t>
      </w:r>
      <w:r>
        <w:rPr>
          <w:rFonts w:cs="Times New Roman"/>
        </w:rPr>
        <w:t>do depósito a prazo existente</w:t>
      </w:r>
      <w:r w:rsidR="00A90A77" w:rsidRPr="00787287">
        <w:rPr>
          <w:rFonts w:cs="Times New Roman"/>
        </w:rPr>
        <w:t>, no montante total</w:t>
      </w:r>
      <w:r w:rsidR="0090157C">
        <w:rPr>
          <w:rFonts w:cs="Times New Roman"/>
        </w:rPr>
        <w:t xml:space="preserve"> </w:t>
      </w:r>
      <w:r w:rsidR="00D40D0C">
        <w:rPr>
          <w:rFonts w:cs="Times New Roman"/>
        </w:rPr>
        <w:t>343,40</w:t>
      </w:r>
      <w:r w:rsidR="00665C0A">
        <w:rPr>
          <w:rFonts w:cs="Times New Roman"/>
        </w:rPr>
        <w:t xml:space="preserve"> </w:t>
      </w:r>
      <w:r w:rsidR="00A90A77" w:rsidRPr="00787287">
        <w:rPr>
          <w:rFonts w:cs="Times New Roman"/>
        </w:rPr>
        <w:t>€.</w:t>
      </w:r>
    </w:p>
    <w:p w14:paraId="437C317B" w14:textId="77777777" w:rsidR="0082434E" w:rsidRDefault="0082434E" w:rsidP="00C07B7C">
      <w:pPr>
        <w:ind w:firstLine="709"/>
        <w:jc w:val="both"/>
        <w:rPr>
          <w:rFonts w:cs="Times New Roman"/>
        </w:rPr>
      </w:pPr>
    </w:p>
    <w:p w14:paraId="0E83092A" w14:textId="77777777" w:rsidR="0082434E" w:rsidRDefault="0082434E" w:rsidP="0082434E">
      <w:pPr>
        <w:jc w:val="both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</w:t>
      </w:r>
      <w:r w:rsidRPr="0082434E">
        <w:rPr>
          <w:rFonts w:eastAsia="Times New Roman" w:cs="Times New Roman"/>
          <w:b/>
          <w:bCs/>
        </w:rPr>
        <w:t>1</w:t>
      </w:r>
      <w:r w:rsidR="007772D0">
        <w:rPr>
          <w:rFonts w:eastAsia="Times New Roman" w:cs="Times New Roman"/>
          <w:b/>
          <w:bCs/>
        </w:rPr>
        <w:t>7</w:t>
      </w:r>
      <w:r>
        <w:rPr>
          <w:rFonts w:eastAsia="Times New Roman" w:cs="Times New Roman"/>
          <w:b/>
          <w:bCs/>
        </w:rPr>
        <w:t xml:space="preserve">. </w:t>
      </w:r>
      <w:r w:rsidRPr="0082434E">
        <w:rPr>
          <w:rFonts w:cs="Times New Roman"/>
          <w:b/>
          <w:bCs/>
        </w:rPr>
        <w:t xml:space="preserve"> Acontecimentos após a data do balanço</w:t>
      </w:r>
      <w:bookmarkStart w:id="60" w:name="m_3385731593420335464__Toc41398449"/>
    </w:p>
    <w:p w14:paraId="54033CB0" w14:textId="77777777" w:rsidR="0082434E" w:rsidRDefault="0082434E" w:rsidP="0082434E">
      <w:pPr>
        <w:jc w:val="both"/>
        <w:rPr>
          <w:rFonts w:cs="Times New Roman"/>
          <w:b/>
          <w:bCs/>
        </w:rPr>
      </w:pPr>
    </w:p>
    <w:p w14:paraId="0DB02AA6" w14:textId="1852936A" w:rsidR="0082434E" w:rsidRPr="00C61F76" w:rsidRDefault="0082434E" w:rsidP="00D40D0C">
      <w:pPr>
        <w:ind w:firstLine="709"/>
        <w:jc w:val="both"/>
        <w:rPr>
          <w:rFonts w:eastAsia="Times New Roman" w:cs="Times New Roman"/>
          <w:color w:val="222222"/>
          <w:kern w:val="0"/>
          <w:lang w:eastAsia="pt-PT" w:bidi="ar-SA"/>
        </w:rPr>
      </w:pPr>
      <w:r>
        <w:rPr>
          <w:rFonts w:eastAsia="Times New Roman" w:cs="Times New Roman"/>
          <w:b/>
          <w:bCs/>
          <w:kern w:val="0"/>
          <w:lang w:eastAsia="pt-PT" w:bidi="ar-SA"/>
        </w:rPr>
        <w:t>1</w:t>
      </w:r>
      <w:r w:rsidR="007772D0">
        <w:rPr>
          <w:rFonts w:eastAsia="Times New Roman" w:cs="Times New Roman"/>
          <w:b/>
          <w:bCs/>
          <w:kern w:val="0"/>
          <w:lang w:eastAsia="pt-PT" w:bidi="ar-SA"/>
        </w:rPr>
        <w:t>7</w:t>
      </w:r>
      <w:r w:rsidRPr="00C61F76">
        <w:rPr>
          <w:rFonts w:eastAsia="Times New Roman" w:cs="Times New Roman"/>
          <w:b/>
          <w:bCs/>
          <w:kern w:val="0"/>
          <w:lang w:eastAsia="pt-PT" w:bidi="ar-SA"/>
        </w:rPr>
        <w:t xml:space="preserve">.1. </w:t>
      </w:r>
      <w:bookmarkEnd w:id="60"/>
      <w:r w:rsidR="00D40D0C">
        <w:rPr>
          <w:rFonts w:eastAsia="Times New Roman" w:cs="Times New Roman"/>
          <w:color w:val="222222"/>
          <w:kern w:val="0"/>
          <w:lang w:eastAsia="pt-PT" w:bidi="ar-SA"/>
        </w:rPr>
        <w:t>Não aplicável.</w:t>
      </w:r>
    </w:p>
    <w:p w14:paraId="3A60E8AA" w14:textId="77777777" w:rsidR="00F750A4" w:rsidRPr="00787287" w:rsidRDefault="00F750A4" w:rsidP="005A1BBF">
      <w:pPr>
        <w:jc w:val="both"/>
        <w:rPr>
          <w:rFonts w:cs="Times New Roman"/>
        </w:rPr>
      </w:pPr>
    </w:p>
    <w:p w14:paraId="32CA8ABD" w14:textId="77777777" w:rsidR="00F750A4" w:rsidRPr="00787287" w:rsidRDefault="00F750A4" w:rsidP="005A1BBF">
      <w:pPr>
        <w:jc w:val="both"/>
        <w:rPr>
          <w:rFonts w:cs="Times New Roman"/>
        </w:rPr>
      </w:pPr>
    </w:p>
    <w:p w14:paraId="1F394B5B" w14:textId="77777777" w:rsidR="00FA07EA" w:rsidRPr="00787287" w:rsidRDefault="00FA07EA" w:rsidP="00C07646">
      <w:pPr>
        <w:jc w:val="center"/>
      </w:pPr>
      <w:r w:rsidRPr="00787287">
        <w:t xml:space="preserve">O </w:t>
      </w:r>
      <w:r w:rsidR="00C643D7">
        <w:t>Contabilista Certificado</w:t>
      </w:r>
      <w:r w:rsidRPr="00787287">
        <w:t xml:space="preserve">                          </w:t>
      </w:r>
      <w:r w:rsidR="00C643D7">
        <w:t xml:space="preserve"> </w:t>
      </w:r>
      <w:r w:rsidRPr="00787287">
        <w:t xml:space="preserve">               A </w:t>
      </w:r>
      <w:r w:rsidR="007929BF" w:rsidRPr="00787287">
        <w:t>Mesa Administrativa</w:t>
      </w:r>
    </w:p>
    <w:p w14:paraId="740C9B9A" w14:textId="77777777" w:rsidR="007929BF" w:rsidRPr="00787287" w:rsidRDefault="007929BF" w:rsidP="00C07646">
      <w:pPr>
        <w:jc w:val="center"/>
      </w:pPr>
    </w:p>
    <w:sectPr w:rsidR="007929BF" w:rsidRPr="00787287" w:rsidSect="00110B57">
      <w:pgSz w:w="11906" w:h="16838"/>
      <w:pgMar w:top="1134" w:right="1133" w:bottom="1693" w:left="1276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0E21A" w14:textId="77777777" w:rsidR="00823262" w:rsidRDefault="00823262">
      <w:r>
        <w:separator/>
      </w:r>
    </w:p>
  </w:endnote>
  <w:endnote w:type="continuationSeparator" w:id="0">
    <w:p w14:paraId="6F2C90FB" w14:textId="77777777" w:rsidR="00823262" w:rsidRDefault="0082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A4A9" w14:textId="3A6B4098" w:rsidR="00074D5A" w:rsidRDefault="00074D5A" w:rsidP="00F160CA">
    <w:pPr>
      <w:pStyle w:val="Rodap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Anexo às Demonstrações Financeiras da S.C.M. </w:t>
    </w:r>
    <w:r w:rsidR="0071677A">
      <w:rPr>
        <w:rFonts w:asciiTheme="majorHAnsi" w:hAnsiTheme="majorHAnsi"/>
      </w:rPr>
      <w:t>LAGOA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216198">
      <w:fldChar w:fldCharType="begin"/>
    </w:r>
    <w:r>
      <w:instrText xml:space="preserve"> PAGE   \* MERGEFORMAT </w:instrText>
    </w:r>
    <w:r w:rsidR="00216198">
      <w:fldChar w:fldCharType="separate"/>
    </w:r>
    <w:r w:rsidR="00306260" w:rsidRPr="00306260">
      <w:rPr>
        <w:rFonts w:asciiTheme="majorHAnsi" w:hAnsiTheme="majorHAnsi"/>
        <w:noProof/>
      </w:rPr>
      <w:t>1</w:t>
    </w:r>
    <w:r w:rsidR="00216198">
      <w:rPr>
        <w:rFonts w:asciiTheme="majorHAnsi" w:hAnsiTheme="majorHAnsi"/>
        <w:noProof/>
      </w:rPr>
      <w:fldChar w:fldCharType="end"/>
    </w:r>
  </w:p>
  <w:p w14:paraId="7D50CA72" w14:textId="77777777" w:rsidR="00074D5A" w:rsidRPr="00D562A5" w:rsidRDefault="00074D5A" w:rsidP="00D562A5">
    <w:pPr>
      <w:pStyle w:val="Rodap"/>
      <w:jc w:val="center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42B4" w14:textId="77777777" w:rsidR="00823262" w:rsidRDefault="00823262">
      <w:r>
        <w:separator/>
      </w:r>
    </w:p>
  </w:footnote>
  <w:footnote w:type="continuationSeparator" w:id="0">
    <w:p w14:paraId="09EAED2D" w14:textId="77777777" w:rsidR="00823262" w:rsidRDefault="0082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52867" w14:textId="2533118D" w:rsidR="00074D5A" w:rsidRDefault="00074D5A" w:rsidP="00C07B7C">
    <w:pPr>
      <w:pStyle w:val="Cabealho"/>
      <w:pBdr>
        <w:bottom w:val="single" w:sz="4" w:space="1" w:color="auto"/>
      </w:pBdr>
      <w:rPr>
        <w:i/>
        <w:color w:val="1F497D" w:themeColor="text2"/>
      </w:rPr>
    </w:pPr>
    <w:r>
      <w:tab/>
    </w:r>
    <w:r>
      <w:rPr>
        <w:i/>
        <w:color w:val="1F497D" w:themeColor="text2"/>
      </w:rPr>
      <w:t xml:space="preserve"> </w:t>
    </w:r>
    <w:r w:rsidRPr="000F25DF">
      <w:rPr>
        <w:i/>
        <w:color w:val="1F497D" w:themeColor="text2"/>
      </w:rPr>
      <w:t xml:space="preserve">Anexo às Demonstrações Financeiras – Exercício de </w:t>
    </w:r>
    <w:r w:rsidR="00B25486">
      <w:rPr>
        <w:i/>
        <w:color w:val="1F497D" w:themeColor="text2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4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5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6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7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8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9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2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3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4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15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lvl w:ilvl="0">
      <w:start w:val="1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05DB4E63"/>
    <w:multiLevelType w:val="hybridMultilevel"/>
    <w:tmpl w:val="D3DC2A68"/>
    <w:lvl w:ilvl="0" w:tplc="3986247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A37F8"/>
    <w:multiLevelType w:val="hybridMultilevel"/>
    <w:tmpl w:val="6454487C"/>
    <w:lvl w:ilvl="0" w:tplc="063C93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AF48E1"/>
    <w:multiLevelType w:val="hybridMultilevel"/>
    <w:tmpl w:val="D512C3AC"/>
    <w:lvl w:ilvl="0" w:tplc="AFD2B5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B5541E"/>
    <w:multiLevelType w:val="multilevel"/>
    <w:tmpl w:val="7DA6C2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FB046A"/>
    <w:multiLevelType w:val="hybridMultilevel"/>
    <w:tmpl w:val="E56AD4B2"/>
    <w:lvl w:ilvl="0" w:tplc="AE0A3C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CA7"/>
    <w:multiLevelType w:val="hybridMultilevel"/>
    <w:tmpl w:val="49ACAE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D67BE"/>
    <w:multiLevelType w:val="hybridMultilevel"/>
    <w:tmpl w:val="5420D5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5"/>
  </w:num>
  <w:num w:numId="32">
    <w:abstractNumId w:val="34"/>
  </w:num>
  <w:num w:numId="33">
    <w:abstractNumId w:val="32"/>
  </w:num>
  <w:num w:numId="34">
    <w:abstractNumId w:val="31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F1"/>
    <w:rsid w:val="00004A63"/>
    <w:rsid w:val="00010614"/>
    <w:rsid w:val="0002561F"/>
    <w:rsid w:val="00026966"/>
    <w:rsid w:val="00072503"/>
    <w:rsid w:val="000740F1"/>
    <w:rsid w:val="0007430C"/>
    <w:rsid w:val="00074D5A"/>
    <w:rsid w:val="00093EF8"/>
    <w:rsid w:val="000955ED"/>
    <w:rsid w:val="00095AEA"/>
    <w:rsid w:val="000A4E0E"/>
    <w:rsid w:val="000E0D69"/>
    <w:rsid w:val="000E7B5E"/>
    <w:rsid w:val="000F034C"/>
    <w:rsid w:val="000F1532"/>
    <w:rsid w:val="000F2287"/>
    <w:rsid w:val="000F25DF"/>
    <w:rsid w:val="000F66BC"/>
    <w:rsid w:val="000F6B1A"/>
    <w:rsid w:val="00100C65"/>
    <w:rsid w:val="00101E25"/>
    <w:rsid w:val="00110B57"/>
    <w:rsid w:val="00114EEC"/>
    <w:rsid w:val="00117234"/>
    <w:rsid w:val="001226D4"/>
    <w:rsid w:val="0013086B"/>
    <w:rsid w:val="00140053"/>
    <w:rsid w:val="00171D20"/>
    <w:rsid w:val="00177AA6"/>
    <w:rsid w:val="00193E31"/>
    <w:rsid w:val="001A3BF5"/>
    <w:rsid w:val="001A76A9"/>
    <w:rsid w:val="001B486E"/>
    <w:rsid w:val="001C43E7"/>
    <w:rsid w:val="001C659A"/>
    <w:rsid w:val="001F307D"/>
    <w:rsid w:val="0020508D"/>
    <w:rsid w:val="00216198"/>
    <w:rsid w:val="002317CB"/>
    <w:rsid w:val="0023238F"/>
    <w:rsid w:val="00265999"/>
    <w:rsid w:val="00277830"/>
    <w:rsid w:val="00284F7B"/>
    <w:rsid w:val="00287DD3"/>
    <w:rsid w:val="00294106"/>
    <w:rsid w:val="002A4B0C"/>
    <w:rsid w:val="002C059C"/>
    <w:rsid w:val="002D12C5"/>
    <w:rsid w:val="00301FB6"/>
    <w:rsid w:val="00306260"/>
    <w:rsid w:val="00317E16"/>
    <w:rsid w:val="00333F01"/>
    <w:rsid w:val="003368E5"/>
    <w:rsid w:val="003404EE"/>
    <w:rsid w:val="003432C2"/>
    <w:rsid w:val="003479EE"/>
    <w:rsid w:val="00350EA7"/>
    <w:rsid w:val="003541F2"/>
    <w:rsid w:val="0036148D"/>
    <w:rsid w:val="00366517"/>
    <w:rsid w:val="0038546A"/>
    <w:rsid w:val="003A0E9D"/>
    <w:rsid w:val="003A7C8F"/>
    <w:rsid w:val="003C1EC6"/>
    <w:rsid w:val="003C3710"/>
    <w:rsid w:val="003D390B"/>
    <w:rsid w:val="003D58AB"/>
    <w:rsid w:val="003E19B9"/>
    <w:rsid w:val="003E2B63"/>
    <w:rsid w:val="003E62D7"/>
    <w:rsid w:val="003F1CD6"/>
    <w:rsid w:val="003F7FEF"/>
    <w:rsid w:val="004060F7"/>
    <w:rsid w:val="004061EA"/>
    <w:rsid w:val="00410654"/>
    <w:rsid w:val="00410791"/>
    <w:rsid w:val="0042123D"/>
    <w:rsid w:val="00423856"/>
    <w:rsid w:val="0042390A"/>
    <w:rsid w:val="0042478F"/>
    <w:rsid w:val="00435C54"/>
    <w:rsid w:val="00447518"/>
    <w:rsid w:val="00450F73"/>
    <w:rsid w:val="0046279D"/>
    <w:rsid w:val="004660CE"/>
    <w:rsid w:val="00471F50"/>
    <w:rsid w:val="00476E7B"/>
    <w:rsid w:val="00482CF0"/>
    <w:rsid w:val="004903EE"/>
    <w:rsid w:val="00495152"/>
    <w:rsid w:val="004A5FC1"/>
    <w:rsid w:val="004A653B"/>
    <w:rsid w:val="004A75DB"/>
    <w:rsid w:val="004C5771"/>
    <w:rsid w:val="004D5CF7"/>
    <w:rsid w:val="004D646B"/>
    <w:rsid w:val="004F5073"/>
    <w:rsid w:val="004F6AE1"/>
    <w:rsid w:val="00500A21"/>
    <w:rsid w:val="0050236F"/>
    <w:rsid w:val="00505934"/>
    <w:rsid w:val="00510961"/>
    <w:rsid w:val="0051121C"/>
    <w:rsid w:val="00517301"/>
    <w:rsid w:val="005173B6"/>
    <w:rsid w:val="00531B59"/>
    <w:rsid w:val="00532219"/>
    <w:rsid w:val="00533934"/>
    <w:rsid w:val="00534BAB"/>
    <w:rsid w:val="00536A64"/>
    <w:rsid w:val="00545514"/>
    <w:rsid w:val="00551C4D"/>
    <w:rsid w:val="00565B04"/>
    <w:rsid w:val="00570F73"/>
    <w:rsid w:val="0057475B"/>
    <w:rsid w:val="00577021"/>
    <w:rsid w:val="0058007C"/>
    <w:rsid w:val="00596866"/>
    <w:rsid w:val="005A1BBF"/>
    <w:rsid w:val="005C49AA"/>
    <w:rsid w:val="005C616A"/>
    <w:rsid w:val="005D3DEF"/>
    <w:rsid w:val="005D6601"/>
    <w:rsid w:val="005E0D5C"/>
    <w:rsid w:val="005F668D"/>
    <w:rsid w:val="006158DA"/>
    <w:rsid w:val="00623956"/>
    <w:rsid w:val="00623963"/>
    <w:rsid w:val="00635DD8"/>
    <w:rsid w:val="0066567B"/>
    <w:rsid w:val="00665C0A"/>
    <w:rsid w:val="00670508"/>
    <w:rsid w:val="00676D47"/>
    <w:rsid w:val="00680B81"/>
    <w:rsid w:val="00696244"/>
    <w:rsid w:val="006A315E"/>
    <w:rsid w:val="006B7473"/>
    <w:rsid w:val="006B79A1"/>
    <w:rsid w:val="006C336D"/>
    <w:rsid w:val="006C7BEA"/>
    <w:rsid w:val="00702BA7"/>
    <w:rsid w:val="00707F0E"/>
    <w:rsid w:val="0071677A"/>
    <w:rsid w:val="007219C5"/>
    <w:rsid w:val="00721BF0"/>
    <w:rsid w:val="0073608C"/>
    <w:rsid w:val="0073732A"/>
    <w:rsid w:val="00744CCE"/>
    <w:rsid w:val="00754644"/>
    <w:rsid w:val="00760201"/>
    <w:rsid w:val="0076791A"/>
    <w:rsid w:val="00771674"/>
    <w:rsid w:val="007772D0"/>
    <w:rsid w:val="00781432"/>
    <w:rsid w:val="00781BFA"/>
    <w:rsid w:val="00784D4B"/>
    <w:rsid w:val="0078600C"/>
    <w:rsid w:val="00786C53"/>
    <w:rsid w:val="00786C82"/>
    <w:rsid w:val="00787287"/>
    <w:rsid w:val="00791981"/>
    <w:rsid w:val="007929BF"/>
    <w:rsid w:val="00797FB8"/>
    <w:rsid w:val="007A2382"/>
    <w:rsid w:val="007B11A3"/>
    <w:rsid w:val="007B2857"/>
    <w:rsid w:val="007C0836"/>
    <w:rsid w:val="007E140B"/>
    <w:rsid w:val="007E5262"/>
    <w:rsid w:val="007E67D5"/>
    <w:rsid w:val="007F091D"/>
    <w:rsid w:val="0081075E"/>
    <w:rsid w:val="0081285E"/>
    <w:rsid w:val="00814C78"/>
    <w:rsid w:val="00823262"/>
    <w:rsid w:val="0082434E"/>
    <w:rsid w:val="008266FD"/>
    <w:rsid w:val="00861635"/>
    <w:rsid w:val="00886570"/>
    <w:rsid w:val="00893560"/>
    <w:rsid w:val="008A0352"/>
    <w:rsid w:val="008A16D3"/>
    <w:rsid w:val="008A187B"/>
    <w:rsid w:val="008A6E1E"/>
    <w:rsid w:val="008C4C10"/>
    <w:rsid w:val="008D5A00"/>
    <w:rsid w:val="008E1059"/>
    <w:rsid w:val="008E4359"/>
    <w:rsid w:val="008E5BE8"/>
    <w:rsid w:val="008F6CF0"/>
    <w:rsid w:val="0090157C"/>
    <w:rsid w:val="00912B32"/>
    <w:rsid w:val="00914753"/>
    <w:rsid w:val="009277FE"/>
    <w:rsid w:val="00937650"/>
    <w:rsid w:val="00972CBC"/>
    <w:rsid w:val="0098261B"/>
    <w:rsid w:val="00984DBE"/>
    <w:rsid w:val="00992C09"/>
    <w:rsid w:val="009A2655"/>
    <w:rsid w:val="009A6305"/>
    <w:rsid w:val="009B122A"/>
    <w:rsid w:val="009C52E5"/>
    <w:rsid w:val="009D0923"/>
    <w:rsid w:val="009E5D66"/>
    <w:rsid w:val="00A06D6A"/>
    <w:rsid w:val="00A100C0"/>
    <w:rsid w:val="00A203D3"/>
    <w:rsid w:val="00A407BB"/>
    <w:rsid w:val="00A421D9"/>
    <w:rsid w:val="00A517C3"/>
    <w:rsid w:val="00A52E9D"/>
    <w:rsid w:val="00A63DDF"/>
    <w:rsid w:val="00A743D0"/>
    <w:rsid w:val="00A771F1"/>
    <w:rsid w:val="00A8293F"/>
    <w:rsid w:val="00A9011D"/>
    <w:rsid w:val="00A90A77"/>
    <w:rsid w:val="00AA0D61"/>
    <w:rsid w:val="00AA1CBB"/>
    <w:rsid w:val="00AD3E3B"/>
    <w:rsid w:val="00AF28C9"/>
    <w:rsid w:val="00AF41FE"/>
    <w:rsid w:val="00B0474E"/>
    <w:rsid w:val="00B11F47"/>
    <w:rsid w:val="00B13172"/>
    <w:rsid w:val="00B15B34"/>
    <w:rsid w:val="00B25486"/>
    <w:rsid w:val="00B26153"/>
    <w:rsid w:val="00B40388"/>
    <w:rsid w:val="00B46BAA"/>
    <w:rsid w:val="00B5764C"/>
    <w:rsid w:val="00B57C5A"/>
    <w:rsid w:val="00B63B46"/>
    <w:rsid w:val="00B66561"/>
    <w:rsid w:val="00B83193"/>
    <w:rsid w:val="00B9419D"/>
    <w:rsid w:val="00BB4446"/>
    <w:rsid w:val="00BB7DD0"/>
    <w:rsid w:val="00BC0843"/>
    <w:rsid w:val="00BC1AD2"/>
    <w:rsid w:val="00BC6541"/>
    <w:rsid w:val="00BD4134"/>
    <w:rsid w:val="00BD61CC"/>
    <w:rsid w:val="00BE0F48"/>
    <w:rsid w:val="00BF14CA"/>
    <w:rsid w:val="00BF2A68"/>
    <w:rsid w:val="00BF6E86"/>
    <w:rsid w:val="00C00E14"/>
    <w:rsid w:val="00C0622C"/>
    <w:rsid w:val="00C062C0"/>
    <w:rsid w:val="00C07646"/>
    <w:rsid w:val="00C07B7C"/>
    <w:rsid w:val="00C10CC0"/>
    <w:rsid w:val="00C12199"/>
    <w:rsid w:val="00C13191"/>
    <w:rsid w:val="00C248A9"/>
    <w:rsid w:val="00C26E60"/>
    <w:rsid w:val="00C270A8"/>
    <w:rsid w:val="00C32ABA"/>
    <w:rsid w:val="00C537E8"/>
    <w:rsid w:val="00C55B4E"/>
    <w:rsid w:val="00C643D7"/>
    <w:rsid w:val="00C76A0C"/>
    <w:rsid w:val="00C806CA"/>
    <w:rsid w:val="00C84C5D"/>
    <w:rsid w:val="00C90F02"/>
    <w:rsid w:val="00CA307C"/>
    <w:rsid w:val="00CD6E8D"/>
    <w:rsid w:val="00CF3481"/>
    <w:rsid w:val="00D0414B"/>
    <w:rsid w:val="00D103C5"/>
    <w:rsid w:val="00D40D0C"/>
    <w:rsid w:val="00D466D7"/>
    <w:rsid w:val="00D562A5"/>
    <w:rsid w:val="00D57C64"/>
    <w:rsid w:val="00D72302"/>
    <w:rsid w:val="00D73168"/>
    <w:rsid w:val="00D74D1C"/>
    <w:rsid w:val="00D75ED7"/>
    <w:rsid w:val="00D9037A"/>
    <w:rsid w:val="00DB6CFD"/>
    <w:rsid w:val="00DC2391"/>
    <w:rsid w:val="00DC4673"/>
    <w:rsid w:val="00DD3B3A"/>
    <w:rsid w:val="00DE0BD6"/>
    <w:rsid w:val="00DE657B"/>
    <w:rsid w:val="00DF1869"/>
    <w:rsid w:val="00DF49A4"/>
    <w:rsid w:val="00DF5E98"/>
    <w:rsid w:val="00E04640"/>
    <w:rsid w:val="00E04B22"/>
    <w:rsid w:val="00E22A66"/>
    <w:rsid w:val="00E25C74"/>
    <w:rsid w:val="00E25EB7"/>
    <w:rsid w:val="00E54DFB"/>
    <w:rsid w:val="00EA02F1"/>
    <w:rsid w:val="00EA5270"/>
    <w:rsid w:val="00EC1FAD"/>
    <w:rsid w:val="00ED0448"/>
    <w:rsid w:val="00ED7BDF"/>
    <w:rsid w:val="00EE0BF9"/>
    <w:rsid w:val="00EE2D3F"/>
    <w:rsid w:val="00EE6CD3"/>
    <w:rsid w:val="00EE74D0"/>
    <w:rsid w:val="00F05FAE"/>
    <w:rsid w:val="00F160CA"/>
    <w:rsid w:val="00F4627A"/>
    <w:rsid w:val="00F509DC"/>
    <w:rsid w:val="00F706EB"/>
    <w:rsid w:val="00F706EC"/>
    <w:rsid w:val="00F750A4"/>
    <w:rsid w:val="00F8092B"/>
    <w:rsid w:val="00F911B5"/>
    <w:rsid w:val="00FA07EA"/>
    <w:rsid w:val="00FB49D8"/>
    <w:rsid w:val="00FB4DF6"/>
    <w:rsid w:val="00FC024C"/>
    <w:rsid w:val="00FC1993"/>
    <w:rsid w:val="00FC1DBF"/>
    <w:rsid w:val="00FC37B1"/>
    <w:rsid w:val="00FC5349"/>
    <w:rsid w:val="00FC7923"/>
    <w:rsid w:val="00FD0E3E"/>
    <w:rsid w:val="00FD621E"/>
    <w:rsid w:val="00FF1311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0F18F5"/>
  <w15:docId w15:val="{5FB671A5-1D04-4FB0-BF0F-25081ADE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66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rsid w:val="00026966"/>
  </w:style>
  <w:style w:type="character" w:customStyle="1" w:styleId="Marcas">
    <w:name w:val="Marcas"/>
    <w:rsid w:val="00026966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rsid w:val="00026966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026966"/>
    <w:pPr>
      <w:spacing w:after="120"/>
    </w:pPr>
  </w:style>
  <w:style w:type="paragraph" w:styleId="Lista">
    <w:name w:val="List"/>
    <w:basedOn w:val="Corpodetexto"/>
    <w:rsid w:val="00026966"/>
  </w:style>
  <w:style w:type="paragraph" w:customStyle="1" w:styleId="Legenda1">
    <w:name w:val="Legenda1"/>
    <w:basedOn w:val="Normal"/>
    <w:rsid w:val="00026966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rsid w:val="00026966"/>
    <w:pPr>
      <w:suppressLineNumbers/>
    </w:pPr>
  </w:style>
  <w:style w:type="paragraph" w:styleId="Rodap">
    <w:name w:val="footer"/>
    <w:basedOn w:val="Normal"/>
    <w:link w:val="RodapCarter"/>
    <w:uiPriority w:val="99"/>
    <w:rsid w:val="00026966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rsid w:val="00026966"/>
    <w:pPr>
      <w:suppressLineNumbers/>
    </w:pPr>
  </w:style>
  <w:style w:type="paragraph" w:customStyle="1" w:styleId="Cabealhodatabela">
    <w:name w:val="Cabeçalho da tabela"/>
    <w:basedOn w:val="Contedodatabela"/>
    <w:rsid w:val="00026966"/>
    <w:pPr>
      <w:jc w:val="center"/>
    </w:pPr>
    <w:rPr>
      <w:b/>
      <w:bCs/>
    </w:rPr>
  </w:style>
  <w:style w:type="character" w:styleId="Nmerodepgina">
    <w:name w:val="page number"/>
    <w:basedOn w:val="Tipodeletrapredefinidodopargrafo"/>
    <w:rsid w:val="00C270A8"/>
  </w:style>
  <w:style w:type="character" w:customStyle="1" w:styleId="RodapCarter">
    <w:name w:val="Rodapé Caráter"/>
    <w:link w:val="Rodap"/>
    <w:uiPriority w:val="99"/>
    <w:rsid w:val="00193E31"/>
    <w:rPr>
      <w:rFonts w:eastAsia="Droid Sans Fallback" w:cs="Lohit Hindi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F750A4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562A5"/>
    <w:rPr>
      <w:rFonts w:ascii="Tahoma" w:hAnsi="Tahoma" w:cs="Mangal"/>
      <w:sz w:val="16"/>
      <w:szCs w:val="14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562A5"/>
    <w:rPr>
      <w:rFonts w:ascii="Tahoma" w:eastAsia="Droid Sans Fallback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oleObject" Target="embeddings/Folha_C_lculo_Microsoft_Excel_97-20035.xls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oleObject" Target="embeddings/Folha_C_lculo_Microsoft_Excel_97-20033.xls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olha_C_lculo_Microsoft_Excel_97-20031.xls"/><Relationship Id="rId5" Type="http://schemas.openxmlformats.org/officeDocument/2006/relationships/webSettings" Target="webSettings.xml"/><Relationship Id="rId15" Type="http://schemas.openxmlformats.org/officeDocument/2006/relationships/oleObject" Target="embeddings/Folha_C_lculo_Microsoft_Excel_97-20032.xls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Folha_C_lculo_Microsoft_Excel_97-20034.xls"/><Relationship Id="rId4" Type="http://schemas.openxmlformats.org/officeDocument/2006/relationships/settings" Target="settings.xml"/><Relationship Id="rId9" Type="http://schemas.openxmlformats.org/officeDocument/2006/relationships/oleObject" Target="embeddings/Folha_C_lculo_Microsoft_Excel_97-2003.xls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B1FE-1565-401F-A049-7BE531CB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1750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às demonstrações Financeiras</vt:lpstr>
    </vt:vector>
  </TitlesOfParts>
  <Company>Microsoft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às demonstrações Financeiras</dc:title>
  <dc:creator>miguel</dc:creator>
  <cp:lastModifiedBy>Utilizador CML</cp:lastModifiedBy>
  <cp:revision>2</cp:revision>
  <cp:lastPrinted>2023-03-07T16:38:00Z</cp:lastPrinted>
  <dcterms:created xsi:type="dcterms:W3CDTF">2024-03-11T13:16:00Z</dcterms:created>
  <dcterms:modified xsi:type="dcterms:W3CDTF">2024-03-11T13:16:00Z</dcterms:modified>
</cp:coreProperties>
</file>